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EFE1F" w14:textId="4C3E34B1" w:rsidR="00F1006E" w:rsidRDefault="00E607C3" w:rsidP="00F1006E">
      <w:pPr>
        <w:pStyle w:val="Heading1"/>
      </w:pPr>
      <w:r>
        <w:t>Proposal and Report</w:t>
      </w:r>
      <w:r w:rsidR="008A3C65">
        <w:t xml:space="preserve"> Rubric</w:t>
      </w:r>
    </w:p>
    <w:tbl>
      <w:tblPr>
        <w:tblStyle w:val="GridTable1Light"/>
        <w:tblW w:w="0" w:type="auto"/>
        <w:tblLook w:val="0420" w:firstRow="1" w:lastRow="0" w:firstColumn="0" w:lastColumn="0" w:noHBand="0" w:noVBand="1"/>
      </w:tblPr>
      <w:tblGrid>
        <w:gridCol w:w="2586"/>
        <w:gridCol w:w="2738"/>
        <w:gridCol w:w="2521"/>
        <w:gridCol w:w="2819"/>
        <w:gridCol w:w="2286"/>
      </w:tblGrid>
      <w:tr w:rsidR="00F10412" w14:paraId="308381F2" w14:textId="4EBEB4F5" w:rsidTr="00213342">
        <w:trPr>
          <w:cnfStyle w:val="100000000000" w:firstRow="1" w:lastRow="0" w:firstColumn="0" w:lastColumn="0" w:oddVBand="0" w:evenVBand="0" w:oddHBand="0" w:evenHBand="0" w:firstRowFirstColumn="0" w:firstRowLastColumn="0" w:lastRowFirstColumn="0" w:lastRowLastColumn="0"/>
        </w:trPr>
        <w:tc>
          <w:tcPr>
            <w:tcW w:w="2586" w:type="dxa"/>
          </w:tcPr>
          <w:p w14:paraId="639045C4" w14:textId="057F0492" w:rsidR="00F10412" w:rsidRDefault="00E607C3" w:rsidP="008A3C65">
            <w:r>
              <w:t>A – 90%</w:t>
            </w:r>
          </w:p>
        </w:tc>
        <w:tc>
          <w:tcPr>
            <w:tcW w:w="2738" w:type="dxa"/>
          </w:tcPr>
          <w:p w14:paraId="30D16C10" w14:textId="6A412D26" w:rsidR="00F10412" w:rsidRDefault="00E607C3" w:rsidP="008A3C65">
            <w:r>
              <w:t>B – 80%</w:t>
            </w:r>
          </w:p>
        </w:tc>
        <w:tc>
          <w:tcPr>
            <w:tcW w:w="2521" w:type="dxa"/>
          </w:tcPr>
          <w:p w14:paraId="6D2B5EF4" w14:textId="1F4EADA4" w:rsidR="00F10412" w:rsidRDefault="00E607C3" w:rsidP="008A3C65">
            <w:r>
              <w:t>C – 70%</w:t>
            </w:r>
          </w:p>
        </w:tc>
        <w:tc>
          <w:tcPr>
            <w:tcW w:w="2819" w:type="dxa"/>
          </w:tcPr>
          <w:p w14:paraId="33E698DF" w14:textId="64C7C193" w:rsidR="00F10412" w:rsidRDefault="00E607C3" w:rsidP="008A3C65">
            <w:r>
              <w:t>D – 60%</w:t>
            </w:r>
          </w:p>
        </w:tc>
        <w:tc>
          <w:tcPr>
            <w:tcW w:w="2286" w:type="dxa"/>
          </w:tcPr>
          <w:p w14:paraId="0530FF69" w14:textId="6DE2B84C" w:rsidR="00F10412" w:rsidRDefault="00E607C3" w:rsidP="008A3C65">
            <w:r>
              <w:t xml:space="preserve">F </w:t>
            </w:r>
            <w:r w:rsidR="00213342">
              <w:t>–</w:t>
            </w:r>
            <w:r>
              <w:t xml:space="preserve"> </w:t>
            </w:r>
            <w:r w:rsidR="00213342">
              <w:t>0%</w:t>
            </w:r>
          </w:p>
        </w:tc>
      </w:tr>
      <w:tr w:rsidR="00F10412" w14:paraId="481C6877" w14:textId="6E7AF068" w:rsidTr="00213342">
        <w:tc>
          <w:tcPr>
            <w:tcW w:w="2586" w:type="dxa"/>
          </w:tcPr>
          <w:p w14:paraId="401D0013" w14:textId="0A21C582" w:rsidR="00F10412" w:rsidRDefault="00213342" w:rsidP="008A3C65">
            <w:r w:rsidRPr="00213342">
              <w:t xml:space="preserve">The A grade represents superiority in composition, content, and style. An A paper exceeds all the objectives of the assignment. The contents are original, ethical, sophisticated, thorough, and ideally suited for the audience. The style is clear and appropriate to the subject, purpose, and audience. The organization and design of the document make the information understandable, accessible, and usable. The </w:t>
            </w:r>
            <w:r w:rsidRPr="00213342">
              <w:lastRenderedPageBreak/>
              <w:t>mechanics and grammar are excellent. As rhetoric, an A paper convinces the reader of the soundness and validity of its argument. The true A paper, relatively rare, goes way beyond expectations.</w:t>
            </w:r>
          </w:p>
        </w:tc>
        <w:tc>
          <w:tcPr>
            <w:tcW w:w="2738" w:type="dxa"/>
          </w:tcPr>
          <w:p w14:paraId="3398A69B" w14:textId="39768E0E" w:rsidR="00F10412" w:rsidRPr="009E7090" w:rsidRDefault="00B21F5E" w:rsidP="009E7090">
            <w:r w:rsidRPr="00B21F5E">
              <w:lastRenderedPageBreak/>
              <w:t>The B grade indicates above-average work. A B paper meets the objectives of the assignment, but it requires minor improvements or reveals easily correctable errors in organization, style, design, grammar, or mechanics. As rhetoric, a B paper makes a sound argument, but lacks the brilliance of an A paper.</w:t>
            </w:r>
          </w:p>
        </w:tc>
        <w:tc>
          <w:tcPr>
            <w:tcW w:w="2521" w:type="dxa"/>
          </w:tcPr>
          <w:p w14:paraId="023C49A6" w14:textId="0BA73DBF" w:rsidR="00F10412" w:rsidRDefault="00B21F5E" w:rsidP="009E7090">
            <w:r w:rsidRPr="00B21F5E">
              <w:t xml:space="preserve">The C grade represents work of average quality: it is the grade that most papers receive. A C paper presents and illustrates a clearly stated thesis and avoids serious errors; it lacks, however, the rigor of thought, development, and expression required for a grade of A or B. A paper receiving a grade of C or higher must have few mechanical errors. On the other hand, an essay may denote the writer's competence in </w:t>
            </w:r>
            <w:r w:rsidRPr="00B21F5E">
              <w:lastRenderedPageBreak/>
              <w:t>grammar, punctuation, mechanics, and diction and still receive a grade of below C because the organization or content is unsatisfactory. As rhetoric, a C paper is an argument with perhaps some strong features, but with some problems.</w:t>
            </w:r>
          </w:p>
        </w:tc>
        <w:tc>
          <w:tcPr>
            <w:tcW w:w="2819" w:type="dxa"/>
          </w:tcPr>
          <w:p w14:paraId="5DE227C4" w14:textId="5AC9CB1F" w:rsidR="00F10412" w:rsidRDefault="00B21F5E" w:rsidP="009E7090">
            <w:r w:rsidRPr="00B21F5E">
              <w:lastRenderedPageBreak/>
              <w:t xml:space="preserve">The D grade represents a disappointing document. A D paper meets some of the objectives of the assignment but ignores others; the discussion is inadequately developed, omits important information, or displays numerous or major errors in organization, style, design, grammar, or mechanics. For example, a paper with errors in subject-verb agreement, comma splices or fused sentences, sentence fragments, illogical sentences, or numerous spelling </w:t>
            </w:r>
            <w:r w:rsidRPr="00B21F5E">
              <w:lastRenderedPageBreak/>
              <w:t>errors should not be awarded a grade higher than a D. As rhetoric, the D paper has little to commend its argument.</w:t>
            </w:r>
          </w:p>
        </w:tc>
        <w:tc>
          <w:tcPr>
            <w:tcW w:w="2286" w:type="dxa"/>
          </w:tcPr>
          <w:p w14:paraId="7D65BA11" w14:textId="14972D58" w:rsidR="00F10412" w:rsidRDefault="00630DDA" w:rsidP="008A3C65">
            <w:r w:rsidRPr="00630DDA">
              <w:lastRenderedPageBreak/>
              <w:t>The F grade designates writing that is unacceptable at the university level. An F paper omits critical information, does something other than the assignment required, or displays major or excessive errors in organization, style, design, grammar, or mechanics. As rhetoric, the F paper fails to persuade.</w:t>
            </w:r>
          </w:p>
        </w:tc>
      </w:tr>
    </w:tbl>
    <w:p w14:paraId="0E3B6469" w14:textId="77777777" w:rsidR="008A3C65" w:rsidRPr="008A3C65" w:rsidRDefault="008A3C65" w:rsidP="008A3C65"/>
    <w:sectPr w:rsidR="008A3C65" w:rsidRPr="008A3C65" w:rsidSect="00F1006E">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7C0AC" w14:textId="77777777" w:rsidR="00711DB9" w:rsidRDefault="00711DB9" w:rsidP="00711DB9">
      <w:pPr>
        <w:spacing w:before="0" w:after="0"/>
      </w:pPr>
      <w:r>
        <w:separator/>
      </w:r>
    </w:p>
  </w:endnote>
  <w:endnote w:type="continuationSeparator" w:id="0">
    <w:p w14:paraId="3BB47C5B" w14:textId="77777777" w:rsidR="00711DB9" w:rsidRDefault="00711DB9" w:rsidP="00711D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955D" w14:textId="77777777" w:rsidR="00D87FC8" w:rsidRDefault="00D87F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17E17" w14:textId="582C89A0" w:rsidR="00D87FC8" w:rsidRDefault="00D87FC8">
    <w:pPr>
      <w:pStyle w:val="Footer"/>
    </w:pPr>
    <w:bookmarkStart w:id="0" w:name="_GoBack"/>
    <w:r>
      <w:rPr>
        <w:noProof/>
      </w:rPr>
      <w:drawing>
        <wp:anchor distT="0" distB="0" distL="114300" distR="114300" simplePos="0" relativeHeight="251658240" behindDoc="0" locked="0" layoutInCell="1" allowOverlap="1" wp14:anchorId="341A2FEE" wp14:editId="3065499C">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bookmarkEnd w:id="0"/>
    <w:r>
      <w:t>Dr. Jonathan Arnett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29DC" w14:textId="77777777" w:rsidR="00D87FC8" w:rsidRDefault="00D8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D6153" w14:textId="77777777" w:rsidR="00711DB9" w:rsidRDefault="00711DB9" w:rsidP="00711DB9">
      <w:pPr>
        <w:spacing w:before="0" w:after="0"/>
      </w:pPr>
      <w:r>
        <w:separator/>
      </w:r>
    </w:p>
  </w:footnote>
  <w:footnote w:type="continuationSeparator" w:id="0">
    <w:p w14:paraId="592D4C12" w14:textId="77777777" w:rsidR="00711DB9" w:rsidRDefault="00711DB9" w:rsidP="00711D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83BE" w14:textId="77777777" w:rsidR="00D87FC8" w:rsidRDefault="00D87F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B2921" w14:textId="77777777" w:rsidR="00D87FC8" w:rsidRDefault="00D87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E0355" w14:textId="77777777" w:rsidR="00D87FC8" w:rsidRDefault="00D87F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6E"/>
    <w:rsid w:val="00027D0D"/>
    <w:rsid w:val="001510AD"/>
    <w:rsid w:val="00213342"/>
    <w:rsid w:val="0030173B"/>
    <w:rsid w:val="0056022A"/>
    <w:rsid w:val="005C18DF"/>
    <w:rsid w:val="00630DDA"/>
    <w:rsid w:val="00711DB9"/>
    <w:rsid w:val="007A677F"/>
    <w:rsid w:val="00835166"/>
    <w:rsid w:val="008A3C65"/>
    <w:rsid w:val="009E7090"/>
    <w:rsid w:val="00A43E32"/>
    <w:rsid w:val="00B21F5E"/>
    <w:rsid w:val="00B5072B"/>
    <w:rsid w:val="00CC44D3"/>
    <w:rsid w:val="00CD0120"/>
    <w:rsid w:val="00D23B65"/>
    <w:rsid w:val="00D87FC8"/>
    <w:rsid w:val="00E068F4"/>
    <w:rsid w:val="00E14C72"/>
    <w:rsid w:val="00E607C3"/>
    <w:rsid w:val="00E8737E"/>
    <w:rsid w:val="00ED61E8"/>
    <w:rsid w:val="00F1006E"/>
    <w:rsid w:val="00F10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20C2D"/>
  <w15:chartTrackingRefBased/>
  <w15:docId w15:val="{9B55CA0C-CD7B-4D7A-9734-A14626FE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006E"/>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F1006E"/>
    <w:pPr>
      <w:outlineLvl w:val="0"/>
    </w:pPr>
    <w:rPr>
      <w:b/>
      <w:bCs/>
      <w:sz w:val="36"/>
      <w:szCs w:val="36"/>
    </w:rPr>
  </w:style>
  <w:style w:type="paragraph" w:styleId="Heading2">
    <w:name w:val="heading 2"/>
    <w:basedOn w:val="Normal"/>
    <w:link w:val="Heading2Char"/>
    <w:uiPriority w:val="9"/>
    <w:qFormat/>
    <w:rsid w:val="00F1006E"/>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006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1006E"/>
    <w:rPr>
      <w:rFonts w:ascii="Times New Roman" w:hAnsi="Times New Roman" w:cs="Times New Roman"/>
      <w:sz w:val="24"/>
      <w:szCs w:val="24"/>
    </w:rPr>
  </w:style>
  <w:style w:type="character" w:styleId="Hyperlink">
    <w:name w:val="Hyperlink"/>
    <w:basedOn w:val="DefaultParagraphFont"/>
    <w:uiPriority w:val="99"/>
    <w:semiHidden/>
    <w:unhideWhenUsed/>
    <w:rsid w:val="00F1006E"/>
    <w:rPr>
      <w:color w:val="0000FF"/>
      <w:u w:val="single"/>
    </w:rPr>
  </w:style>
  <w:style w:type="character" w:customStyle="1" w:styleId="Heading1Char">
    <w:name w:val="Heading 1 Char"/>
    <w:basedOn w:val="DefaultParagraphFont"/>
    <w:link w:val="Heading1"/>
    <w:uiPriority w:val="9"/>
    <w:rsid w:val="00F1006E"/>
    <w:rPr>
      <w:rFonts w:ascii="Arial" w:eastAsia="Times New Roman" w:hAnsi="Arial" w:cs="Arial"/>
      <w:b/>
      <w:bCs/>
      <w:color w:val="000000"/>
      <w:sz w:val="36"/>
      <w:szCs w:val="36"/>
    </w:rPr>
  </w:style>
  <w:style w:type="paragraph" w:styleId="Caption">
    <w:name w:val="caption"/>
    <w:basedOn w:val="Normal"/>
    <w:next w:val="Normal"/>
    <w:uiPriority w:val="35"/>
    <w:unhideWhenUsed/>
    <w:qFormat/>
    <w:rsid w:val="00F1006E"/>
    <w:pPr>
      <w:spacing w:before="0" w:after="200"/>
    </w:pPr>
    <w:rPr>
      <w:i/>
      <w:iCs/>
      <w:color w:val="44546A" w:themeColor="text2"/>
      <w:sz w:val="18"/>
      <w:szCs w:val="18"/>
    </w:rPr>
  </w:style>
  <w:style w:type="table" w:styleId="TableGrid">
    <w:name w:val="Table Grid"/>
    <w:basedOn w:val="TableNormal"/>
    <w:uiPriority w:val="39"/>
    <w:rsid w:val="008A3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02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711DB9"/>
    <w:pPr>
      <w:tabs>
        <w:tab w:val="center" w:pos="4680"/>
        <w:tab w:val="right" w:pos="9360"/>
      </w:tabs>
      <w:spacing w:before="0" w:after="0"/>
    </w:pPr>
  </w:style>
  <w:style w:type="character" w:customStyle="1" w:styleId="HeaderChar">
    <w:name w:val="Header Char"/>
    <w:basedOn w:val="DefaultParagraphFont"/>
    <w:link w:val="Header"/>
    <w:uiPriority w:val="99"/>
    <w:rsid w:val="00711DB9"/>
    <w:rPr>
      <w:rFonts w:ascii="Arial" w:eastAsia="Times New Roman" w:hAnsi="Arial" w:cs="Arial"/>
      <w:color w:val="000000"/>
      <w:sz w:val="27"/>
      <w:szCs w:val="27"/>
    </w:rPr>
  </w:style>
  <w:style w:type="paragraph" w:styleId="Footer">
    <w:name w:val="footer"/>
    <w:basedOn w:val="Normal"/>
    <w:link w:val="FooterChar"/>
    <w:uiPriority w:val="99"/>
    <w:unhideWhenUsed/>
    <w:rsid w:val="00711DB9"/>
    <w:pPr>
      <w:tabs>
        <w:tab w:val="center" w:pos="4680"/>
        <w:tab w:val="right" w:pos="9360"/>
      </w:tabs>
      <w:spacing w:before="0" w:after="0"/>
    </w:pPr>
  </w:style>
  <w:style w:type="character" w:customStyle="1" w:styleId="FooterChar">
    <w:name w:val="Footer Char"/>
    <w:basedOn w:val="DefaultParagraphFont"/>
    <w:link w:val="Footer"/>
    <w:uiPriority w:val="99"/>
    <w:rsid w:val="00711DB9"/>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3338">
      <w:bodyDiv w:val="1"/>
      <w:marLeft w:val="0"/>
      <w:marRight w:val="0"/>
      <w:marTop w:val="0"/>
      <w:marBottom w:val="0"/>
      <w:divBdr>
        <w:top w:val="none" w:sz="0" w:space="0" w:color="auto"/>
        <w:left w:val="none" w:sz="0" w:space="0" w:color="auto"/>
        <w:bottom w:val="none" w:sz="0" w:space="0" w:color="auto"/>
        <w:right w:val="none" w:sz="0" w:space="0" w:color="auto"/>
      </w:divBdr>
    </w:div>
    <w:div w:id="157884793">
      <w:bodyDiv w:val="1"/>
      <w:marLeft w:val="0"/>
      <w:marRight w:val="0"/>
      <w:marTop w:val="0"/>
      <w:marBottom w:val="0"/>
      <w:divBdr>
        <w:top w:val="none" w:sz="0" w:space="0" w:color="auto"/>
        <w:left w:val="none" w:sz="0" w:space="0" w:color="auto"/>
        <w:bottom w:val="none" w:sz="0" w:space="0" w:color="auto"/>
        <w:right w:val="none" w:sz="0" w:space="0" w:color="auto"/>
      </w:divBdr>
    </w:div>
    <w:div w:id="197015568">
      <w:bodyDiv w:val="1"/>
      <w:marLeft w:val="0"/>
      <w:marRight w:val="0"/>
      <w:marTop w:val="0"/>
      <w:marBottom w:val="0"/>
      <w:divBdr>
        <w:top w:val="none" w:sz="0" w:space="0" w:color="auto"/>
        <w:left w:val="none" w:sz="0" w:space="0" w:color="auto"/>
        <w:bottom w:val="none" w:sz="0" w:space="0" w:color="auto"/>
        <w:right w:val="none" w:sz="0" w:space="0" w:color="auto"/>
      </w:divBdr>
    </w:div>
    <w:div w:id="456797945">
      <w:bodyDiv w:val="1"/>
      <w:marLeft w:val="0"/>
      <w:marRight w:val="0"/>
      <w:marTop w:val="0"/>
      <w:marBottom w:val="0"/>
      <w:divBdr>
        <w:top w:val="none" w:sz="0" w:space="0" w:color="auto"/>
        <w:left w:val="none" w:sz="0" w:space="0" w:color="auto"/>
        <w:bottom w:val="none" w:sz="0" w:space="0" w:color="auto"/>
        <w:right w:val="none" w:sz="0" w:space="0" w:color="auto"/>
      </w:divBdr>
    </w:div>
    <w:div w:id="683484037">
      <w:bodyDiv w:val="1"/>
      <w:marLeft w:val="0"/>
      <w:marRight w:val="0"/>
      <w:marTop w:val="0"/>
      <w:marBottom w:val="0"/>
      <w:divBdr>
        <w:top w:val="none" w:sz="0" w:space="0" w:color="auto"/>
        <w:left w:val="none" w:sz="0" w:space="0" w:color="auto"/>
        <w:bottom w:val="none" w:sz="0" w:space="0" w:color="auto"/>
        <w:right w:val="none" w:sz="0" w:space="0" w:color="auto"/>
      </w:divBdr>
    </w:div>
    <w:div w:id="759721155">
      <w:bodyDiv w:val="1"/>
      <w:marLeft w:val="0"/>
      <w:marRight w:val="0"/>
      <w:marTop w:val="0"/>
      <w:marBottom w:val="0"/>
      <w:divBdr>
        <w:top w:val="none" w:sz="0" w:space="0" w:color="auto"/>
        <w:left w:val="none" w:sz="0" w:space="0" w:color="auto"/>
        <w:bottom w:val="none" w:sz="0" w:space="0" w:color="auto"/>
        <w:right w:val="none" w:sz="0" w:space="0" w:color="auto"/>
      </w:divBdr>
    </w:div>
    <w:div w:id="807405076">
      <w:bodyDiv w:val="1"/>
      <w:marLeft w:val="0"/>
      <w:marRight w:val="0"/>
      <w:marTop w:val="0"/>
      <w:marBottom w:val="0"/>
      <w:divBdr>
        <w:top w:val="none" w:sz="0" w:space="0" w:color="auto"/>
        <w:left w:val="none" w:sz="0" w:space="0" w:color="auto"/>
        <w:bottom w:val="none" w:sz="0" w:space="0" w:color="auto"/>
        <w:right w:val="none" w:sz="0" w:space="0" w:color="auto"/>
      </w:divBdr>
    </w:div>
    <w:div w:id="865560357">
      <w:bodyDiv w:val="1"/>
      <w:marLeft w:val="0"/>
      <w:marRight w:val="0"/>
      <w:marTop w:val="0"/>
      <w:marBottom w:val="0"/>
      <w:divBdr>
        <w:top w:val="none" w:sz="0" w:space="0" w:color="auto"/>
        <w:left w:val="none" w:sz="0" w:space="0" w:color="auto"/>
        <w:bottom w:val="none" w:sz="0" w:space="0" w:color="auto"/>
        <w:right w:val="none" w:sz="0" w:space="0" w:color="auto"/>
      </w:divBdr>
    </w:div>
    <w:div w:id="870843273">
      <w:bodyDiv w:val="1"/>
      <w:marLeft w:val="0"/>
      <w:marRight w:val="0"/>
      <w:marTop w:val="0"/>
      <w:marBottom w:val="0"/>
      <w:divBdr>
        <w:top w:val="none" w:sz="0" w:space="0" w:color="auto"/>
        <w:left w:val="none" w:sz="0" w:space="0" w:color="auto"/>
        <w:bottom w:val="none" w:sz="0" w:space="0" w:color="auto"/>
        <w:right w:val="none" w:sz="0" w:space="0" w:color="auto"/>
      </w:divBdr>
    </w:div>
    <w:div w:id="903375961">
      <w:bodyDiv w:val="1"/>
      <w:marLeft w:val="0"/>
      <w:marRight w:val="0"/>
      <w:marTop w:val="0"/>
      <w:marBottom w:val="0"/>
      <w:divBdr>
        <w:top w:val="none" w:sz="0" w:space="0" w:color="auto"/>
        <w:left w:val="none" w:sz="0" w:space="0" w:color="auto"/>
        <w:bottom w:val="none" w:sz="0" w:space="0" w:color="auto"/>
        <w:right w:val="none" w:sz="0" w:space="0" w:color="auto"/>
      </w:divBdr>
    </w:div>
    <w:div w:id="903566187">
      <w:bodyDiv w:val="1"/>
      <w:marLeft w:val="0"/>
      <w:marRight w:val="0"/>
      <w:marTop w:val="0"/>
      <w:marBottom w:val="0"/>
      <w:divBdr>
        <w:top w:val="none" w:sz="0" w:space="0" w:color="auto"/>
        <w:left w:val="none" w:sz="0" w:space="0" w:color="auto"/>
        <w:bottom w:val="none" w:sz="0" w:space="0" w:color="auto"/>
        <w:right w:val="none" w:sz="0" w:space="0" w:color="auto"/>
      </w:divBdr>
    </w:div>
    <w:div w:id="983579009">
      <w:bodyDiv w:val="1"/>
      <w:marLeft w:val="0"/>
      <w:marRight w:val="0"/>
      <w:marTop w:val="0"/>
      <w:marBottom w:val="0"/>
      <w:divBdr>
        <w:top w:val="none" w:sz="0" w:space="0" w:color="auto"/>
        <w:left w:val="none" w:sz="0" w:space="0" w:color="auto"/>
        <w:bottom w:val="none" w:sz="0" w:space="0" w:color="auto"/>
        <w:right w:val="none" w:sz="0" w:space="0" w:color="auto"/>
      </w:divBdr>
    </w:div>
    <w:div w:id="1088501537">
      <w:bodyDiv w:val="1"/>
      <w:marLeft w:val="0"/>
      <w:marRight w:val="0"/>
      <w:marTop w:val="0"/>
      <w:marBottom w:val="0"/>
      <w:divBdr>
        <w:top w:val="none" w:sz="0" w:space="0" w:color="auto"/>
        <w:left w:val="none" w:sz="0" w:space="0" w:color="auto"/>
        <w:bottom w:val="none" w:sz="0" w:space="0" w:color="auto"/>
        <w:right w:val="none" w:sz="0" w:space="0" w:color="auto"/>
      </w:divBdr>
    </w:div>
    <w:div w:id="1126587727">
      <w:bodyDiv w:val="1"/>
      <w:marLeft w:val="0"/>
      <w:marRight w:val="0"/>
      <w:marTop w:val="0"/>
      <w:marBottom w:val="0"/>
      <w:divBdr>
        <w:top w:val="none" w:sz="0" w:space="0" w:color="auto"/>
        <w:left w:val="none" w:sz="0" w:space="0" w:color="auto"/>
        <w:bottom w:val="none" w:sz="0" w:space="0" w:color="auto"/>
        <w:right w:val="none" w:sz="0" w:space="0" w:color="auto"/>
      </w:divBdr>
    </w:div>
    <w:div w:id="1186167074">
      <w:bodyDiv w:val="1"/>
      <w:marLeft w:val="0"/>
      <w:marRight w:val="0"/>
      <w:marTop w:val="0"/>
      <w:marBottom w:val="0"/>
      <w:divBdr>
        <w:top w:val="none" w:sz="0" w:space="0" w:color="auto"/>
        <w:left w:val="none" w:sz="0" w:space="0" w:color="auto"/>
        <w:bottom w:val="none" w:sz="0" w:space="0" w:color="auto"/>
        <w:right w:val="none" w:sz="0" w:space="0" w:color="auto"/>
      </w:divBdr>
    </w:div>
    <w:div w:id="1243832476">
      <w:bodyDiv w:val="1"/>
      <w:marLeft w:val="0"/>
      <w:marRight w:val="0"/>
      <w:marTop w:val="0"/>
      <w:marBottom w:val="0"/>
      <w:divBdr>
        <w:top w:val="none" w:sz="0" w:space="0" w:color="auto"/>
        <w:left w:val="none" w:sz="0" w:space="0" w:color="auto"/>
        <w:bottom w:val="none" w:sz="0" w:space="0" w:color="auto"/>
        <w:right w:val="none" w:sz="0" w:space="0" w:color="auto"/>
      </w:divBdr>
    </w:div>
    <w:div w:id="1367371735">
      <w:bodyDiv w:val="1"/>
      <w:marLeft w:val="0"/>
      <w:marRight w:val="0"/>
      <w:marTop w:val="0"/>
      <w:marBottom w:val="0"/>
      <w:divBdr>
        <w:top w:val="none" w:sz="0" w:space="0" w:color="auto"/>
        <w:left w:val="none" w:sz="0" w:space="0" w:color="auto"/>
        <w:bottom w:val="none" w:sz="0" w:space="0" w:color="auto"/>
        <w:right w:val="none" w:sz="0" w:space="0" w:color="auto"/>
      </w:divBdr>
    </w:div>
    <w:div w:id="1398356244">
      <w:bodyDiv w:val="1"/>
      <w:marLeft w:val="0"/>
      <w:marRight w:val="0"/>
      <w:marTop w:val="0"/>
      <w:marBottom w:val="0"/>
      <w:divBdr>
        <w:top w:val="none" w:sz="0" w:space="0" w:color="auto"/>
        <w:left w:val="none" w:sz="0" w:space="0" w:color="auto"/>
        <w:bottom w:val="none" w:sz="0" w:space="0" w:color="auto"/>
        <w:right w:val="none" w:sz="0" w:space="0" w:color="auto"/>
      </w:divBdr>
    </w:div>
    <w:div w:id="1653177816">
      <w:bodyDiv w:val="1"/>
      <w:marLeft w:val="0"/>
      <w:marRight w:val="0"/>
      <w:marTop w:val="0"/>
      <w:marBottom w:val="0"/>
      <w:divBdr>
        <w:top w:val="none" w:sz="0" w:space="0" w:color="auto"/>
        <w:left w:val="none" w:sz="0" w:space="0" w:color="auto"/>
        <w:bottom w:val="none" w:sz="0" w:space="0" w:color="auto"/>
        <w:right w:val="none" w:sz="0" w:space="0" w:color="auto"/>
      </w:divBdr>
    </w:div>
    <w:div w:id="1696686929">
      <w:bodyDiv w:val="1"/>
      <w:marLeft w:val="0"/>
      <w:marRight w:val="0"/>
      <w:marTop w:val="0"/>
      <w:marBottom w:val="0"/>
      <w:divBdr>
        <w:top w:val="none" w:sz="0" w:space="0" w:color="auto"/>
        <w:left w:val="none" w:sz="0" w:space="0" w:color="auto"/>
        <w:bottom w:val="none" w:sz="0" w:space="0" w:color="auto"/>
        <w:right w:val="none" w:sz="0" w:space="0" w:color="auto"/>
      </w:divBdr>
    </w:div>
    <w:div w:id="1913850052">
      <w:bodyDiv w:val="1"/>
      <w:marLeft w:val="0"/>
      <w:marRight w:val="0"/>
      <w:marTop w:val="0"/>
      <w:marBottom w:val="0"/>
      <w:divBdr>
        <w:top w:val="none" w:sz="0" w:space="0" w:color="auto"/>
        <w:left w:val="none" w:sz="0" w:space="0" w:color="auto"/>
        <w:bottom w:val="none" w:sz="0" w:space="0" w:color="auto"/>
        <w:right w:val="none" w:sz="0" w:space="0" w:color="auto"/>
      </w:divBdr>
    </w:div>
    <w:div w:id="1932278861">
      <w:bodyDiv w:val="1"/>
      <w:marLeft w:val="0"/>
      <w:marRight w:val="0"/>
      <w:marTop w:val="0"/>
      <w:marBottom w:val="0"/>
      <w:divBdr>
        <w:top w:val="none" w:sz="0" w:space="0" w:color="auto"/>
        <w:left w:val="none" w:sz="0" w:space="0" w:color="auto"/>
        <w:bottom w:val="none" w:sz="0" w:space="0" w:color="auto"/>
        <w:right w:val="none" w:sz="0" w:space="0" w:color="auto"/>
      </w:divBdr>
    </w:div>
    <w:div w:id="204001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24F8B-97F2-4DB8-B66F-376095B7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USG Board of Regents</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8</cp:revision>
  <dcterms:created xsi:type="dcterms:W3CDTF">2020-05-17T02:38:00Z</dcterms:created>
  <dcterms:modified xsi:type="dcterms:W3CDTF">2020-05-17T15:20:00Z</dcterms:modified>
</cp:coreProperties>
</file>