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C9551" w14:textId="1D71A2A8" w:rsidR="00AD0154" w:rsidRDefault="00AD0154" w:rsidP="00AD0154">
      <w:pPr>
        <w:pStyle w:val="Title"/>
      </w:pPr>
      <w:r>
        <w:t xml:space="preserve">Chapter </w:t>
      </w:r>
      <w:r w:rsidR="00F157BB">
        <w:t>11</w:t>
      </w:r>
      <w:r>
        <w:t xml:space="preserve"> – </w:t>
      </w:r>
      <w:r w:rsidR="00F157BB">
        <w:t>Energy Balance and Body Weight</w:t>
      </w:r>
    </w:p>
    <w:p w14:paraId="0B493ABE" w14:textId="77777777" w:rsidR="00AD0154" w:rsidRDefault="00AD0154" w:rsidP="00AD0154"/>
    <w:p w14:paraId="135F374F" w14:textId="5C413672" w:rsidR="00AD0154" w:rsidRDefault="00AD0154" w:rsidP="00AD0154">
      <w:r w:rsidRPr="0000632B">
        <w:rPr>
          <w:b/>
        </w:rPr>
        <w:t>Big Idea:</w:t>
      </w:r>
      <w:r>
        <w:t xml:space="preserve"> </w:t>
      </w:r>
      <w:r w:rsidR="00F157BB">
        <w:t>The “obesogenic” environment in America is a societal hurdle that must be overcome to halt the climbing obesity rate of this country</w:t>
      </w:r>
      <w:r w:rsidR="003F2A78">
        <w:t>.</w:t>
      </w:r>
    </w:p>
    <w:p w14:paraId="46D99296" w14:textId="77777777" w:rsidR="00AD0154" w:rsidRDefault="00AD0154" w:rsidP="00AD0154">
      <w:pPr>
        <w:pStyle w:val="Heading1"/>
      </w:pPr>
      <w:r>
        <w:t>Section Introduction</w:t>
      </w:r>
    </w:p>
    <w:p w14:paraId="23D969DF" w14:textId="570C0C7B" w:rsidR="00AD0154" w:rsidRDefault="00AD0154" w:rsidP="00AD0154">
      <w:pPr>
        <w:pStyle w:val="Heading1"/>
      </w:pPr>
      <w:r>
        <w:t xml:space="preserve">Section </w:t>
      </w:r>
      <w:r w:rsidR="00F157BB">
        <w:t>11</w:t>
      </w:r>
      <w:r>
        <w:t xml:space="preserve">.1 – </w:t>
      </w:r>
      <w:r w:rsidR="00F157BB">
        <w:t>Indicators of Health: Body Mass Index, Body Fat Content, and Fat Distribution</w:t>
      </w:r>
    </w:p>
    <w:p w14:paraId="66BF60A2" w14:textId="77777777" w:rsidR="00AD0154" w:rsidRPr="0000632B" w:rsidRDefault="00AD0154" w:rsidP="00AD0154">
      <w:pPr>
        <w:rPr>
          <w:b/>
        </w:rPr>
      </w:pPr>
      <w:r>
        <w:tab/>
      </w:r>
      <w:r w:rsidRPr="0000632B">
        <w:rPr>
          <w:b/>
        </w:rPr>
        <w:t xml:space="preserve">Learning Objective: </w:t>
      </w:r>
    </w:p>
    <w:p w14:paraId="425CA26F" w14:textId="6FB63087" w:rsidR="002560C9" w:rsidRDefault="00F157BB" w:rsidP="00AD0154">
      <w:pPr>
        <w:pStyle w:val="ListParagraph"/>
        <w:numPr>
          <w:ilvl w:val="0"/>
          <w:numId w:val="1"/>
        </w:numPr>
        <w:ind w:left="1800"/>
      </w:pPr>
      <w:r>
        <w:t>Calculate body mass index given a particular weight and height</w:t>
      </w:r>
      <w:r w:rsidR="002560C9">
        <w:t>.</w:t>
      </w:r>
    </w:p>
    <w:p w14:paraId="3B709597" w14:textId="1A93821C" w:rsidR="00F157BB" w:rsidRDefault="00F157BB" w:rsidP="00AD0154">
      <w:pPr>
        <w:pStyle w:val="ListParagraph"/>
        <w:numPr>
          <w:ilvl w:val="0"/>
          <w:numId w:val="1"/>
        </w:numPr>
        <w:ind w:left="1800"/>
      </w:pPr>
      <w:r>
        <w:t>Name the factors that affect body fat composition and distribution.</w:t>
      </w:r>
    </w:p>
    <w:p w14:paraId="1315BA7D" w14:textId="49352473" w:rsidR="00AD0154" w:rsidRDefault="00AD0154" w:rsidP="00AD0154">
      <w:pPr>
        <w:rPr>
          <w:b/>
        </w:rPr>
      </w:pPr>
      <w:r>
        <w:tab/>
      </w:r>
      <w:r w:rsidRPr="0000632B">
        <w:rPr>
          <w:b/>
        </w:rPr>
        <w:t>Key Content:</w:t>
      </w:r>
    </w:p>
    <w:p w14:paraId="6922C8A7" w14:textId="77777777" w:rsidR="00F157BB" w:rsidRDefault="00F157BB" w:rsidP="00AD0154">
      <w:pPr>
        <w:pStyle w:val="ListParagraph"/>
        <w:numPr>
          <w:ilvl w:val="0"/>
          <w:numId w:val="2"/>
        </w:numPr>
      </w:pPr>
      <w:r>
        <w:t>Most people who are overweight also have excessive body fat and therefore body weight is an indicator of obesity in much of the population.</w:t>
      </w:r>
    </w:p>
    <w:p w14:paraId="4F80915A" w14:textId="77777777" w:rsidR="00F157BB" w:rsidRDefault="00F157BB" w:rsidP="00AD0154">
      <w:pPr>
        <w:pStyle w:val="ListParagraph"/>
        <w:numPr>
          <w:ilvl w:val="0"/>
          <w:numId w:val="2"/>
        </w:numPr>
      </w:pPr>
      <w:r>
        <w:t>To standardize the “ideal” body weight and relate it to health, scientists have devised some computational measurements to better define a healthy ideal weight.</w:t>
      </w:r>
    </w:p>
    <w:p w14:paraId="6A612391" w14:textId="77777777" w:rsidR="00F157BB" w:rsidRDefault="00F157BB" w:rsidP="00AD0154">
      <w:pPr>
        <w:pStyle w:val="ListParagraph"/>
        <w:numPr>
          <w:ilvl w:val="0"/>
          <w:numId w:val="2"/>
        </w:numPr>
      </w:pPr>
      <w:r>
        <w:t>Body weight in relation to height is called BMI and is correlated with disease risk.</w:t>
      </w:r>
    </w:p>
    <w:p w14:paraId="64E158AD" w14:textId="77777777" w:rsidR="00F157BB" w:rsidRDefault="00F157BB" w:rsidP="00AD0154">
      <w:pPr>
        <w:pStyle w:val="ListParagraph"/>
        <w:numPr>
          <w:ilvl w:val="0"/>
          <w:numId w:val="2"/>
        </w:numPr>
      </w:pPr>
      <w:r>
        <w:t>Total body fat mass is another predictor of disease risk; another is where the fat is distributed.</w:t>
      </w:r>
    </w:p>
    <w:p w14:paraId="227C3D68" w14:textId="53422BB3" w:rsidR="00DE4B61" w:rsidRDefault="00F157BB" w:rsidP="00AD0154">
      <w:pPr>
        <w:pStyle w:val="ListParagraph"/>
        <w:numPr>
          <w:ilvl w:val="0"/>
          <w:numId w:val="2"/>
        </w:numPr>
      </w:pPr>
      <w:r>
        <w:t>Fat deposits in different areas in the body and do not all act the same, meaning it differs physiologically based on location. Visceral fat contributes more to disease risk, for example</w:t>
      </w:r>
      <w:r w:rsidR="00DE4B61">
        <w:t>.</w:t>
      </w:r>
    </w:p>
    <w:p w14:paraId="1F7D392A" w14:textId="6D233330" w:rsidR="00387C67" w:rsidRDefault="00387C67" w:rsidP="00387C67">
      <w:pPr>
        <w:pStyle w:val="Heading1"/>
      </w:pPr>
      <w:r>
        <w:t xml:space="preserve">Section </w:t>
      </w:r>
      <w:r w:rsidR="00F157BB">
        <w:t>11</w:t>
      </w:r>
      <w:r>
        <w:t xml:space="preserve">.2 – </w:t>
      </w:r>
      <w:r w:rsidR="00F157BB">
        <w:t>Balancing Energy Input with Energy Output</w:t>
      </w:r>
    </w:p>
    <w:p w14:paraId="57A9CACA" w14:textId="3666BAD3" w:rsidR="00387C67" w:rsidRDefault="00387C67" w:rsidP="00387C67">
      <w:r>
        <w:tab/>
      </w:r>
      <w:r>
        <w:rPr>
          <w:b/>
        </w:rPr>
        <w:t>Learning Objective:</w:t>
      </w:r>
    </w:p>
    <w:p w14:paraId="07E05B46" w14:textId="77777777" w:rsidR="00F157BB" w:rsidRDefault="00F157BB" w:rsidP="00613292">
      <w:pPr>
        <w:pStyle w:val="ListParagraph"/>
        <w:numPr>
          <w:ilvl w:val="0"/>
          <w:numId w:val="3"/>
        </w:numPr>
      </w:pPr>
      <w:r>
        <w:t>Estimate your daily energy requirement.</w:t>
      </w:r>
    </w:p>
    <w:p w14:paraId="0FAC19F4" w14:textId="77777777" w:rsidR="00F157BB" w:rsidRDefault="00F157BB" w:rsidP="00613292">
      <w:pPr>
        <w:pStyle w:val="ListParagraph"/>
        <w:numPr>
          <w:ilvl w:val="0"/>
          <w:numId w:val="3"/>
        </w:numPr>
      </w:pPr>
      <w:r>
        <w:t>Define basal metabolism and explain the factors that affect basal metabolic rate.</w:t>
      </w:r>
    </w:p>
    <w:p w14:paraId="1DC816D8" w14:textId="57A78AC8" w:rsidR="005017A6" w:rsidRPr="00613292" w:rsidRDefault="00F157BB" w:rsidP="00613292">
      <w:pPr>
        <w:pStyle w:val="ListParagraph"/>
        <w:numPr>
          <w:ilvl w:val="0"/>
          <w:numId w:val="3"/>
        </w:numPr>
      </w:pPr>
      <w:r>
        <w:t>Summarize why the amount of food we eat (appetite) is not completely under our conscious control</w:t>
      </w:r>
      <w:r w:rsidR="005017A6">
        <w:t>.</w:t>
      </w:r>
    </w:p>
    <w:p w14:paraId="5A2429D7" w14:textId="27B3D51E" w:rsidR="00387C67" w:rsidRPr="00387C67" w:rsidRDefault="00387C67" w:rsidP="00387C67">
      <w:pPr>
        <w:ind w:left="720"/>
        <w:rPr>
          <w:b/>
        </w:rPr>
      </w:pPr>
      <w:r w:rsidRPr="00387C67">
        <w:rPr>
          <w:b/>
        </w:rPr>
        <w:t>Key Content:</w:t>
      </w:r>
    </w:p>
    <w:p w14:paraId="33E181F1" w14:textId="77777777" w:rsidR="00065FF2" w:rsidRDefault="00065FF2" w:rsidP="00387C67">
      <w:pPr>
        <w:pStyle w:val="ListParagraph"/>
        <w:numPr>
          <w:ilvl w:val="0"/>
          <w:numId w:val="3"/>
        </w:numPr>
      </w:pPr>
      <w:r>
        <w:t>Energy balance is achieved when energy intake is equal to energy expended. Energy balance is essential for maintain weight.</w:t>
      </w:r>
    </w:p>
    <w:p w14:paraId="37EE8472" w14:textId="77777777" w:rsidR="00065FF2" w:rsidRDefault="00065FF2" w:rsidP="00387C67">
      <w:pPr>
        <w:pStyle w:val="ListParagraph"/>
        <w:numPr>
          <w:ilvl w:val="0"/>
          <w:numId w:val="3"/>
        </w:numPr>
      </w:pPr>
      <w:r>
        <w:t xml:space="preserve">Knowing the number of </w:t>
      </w:r>
      <w:proofErr w:type="gramStart"/>
      <w:r>
        <w:t>calories</w:t>
      </w:r>
      <w:proofErr w:type="gramEnd"/>
      <w:r>
        <w:t xml:space="preserve"> you need each day is a useful reference point, but is also important to obtain your calories from nutrient-dense foods and consume the macronutrients in their AMDRs.</w:t>
      </w:r>
    </w:p>
    <w:p w14:paraId="41A70D31" w14:textId="045E08EF" w:rsidR="00065FF2" w:rsidRDefault="00065FF2" w:rsidP="00387C67">
      <w:pPr>
        <w:pStyle w:val="ListParagraph"/>
        <w:numPr>
          <w:ilvl w:val="0"/>
          <w:numId w:val="3"/>
        </w:numPr>
      </w:pPr>
      <w:r>
        <w:lastRenderedPageBreak/>
        <w:t>The amount of energy you expend every day includes not only the calories your burn doing physical activity, but also the calories you burn at rest (basal metabolism), and the calories you burn when you digest food.</w:t>
      </w:r>
    </w:p>
    <w:p w14:paraId="7A1CF218" w14:textId="77777777" w:rsidR="00065FF2" w:rsidRDefault="00065FF2" w:rsidP="00387C67">
      <w:pPr>
        <w:pStyle w:val="ListParagraph"/>
        <w:numPr>
          <w:ilvl w:val="0"/>
          <w:numId w:val="3"/>
        </w:numPr>
      </w:pPr>
      <w:r>
        <w:t>Basal metabolic rate (BMR) is dependent on body size, body composition, sex, age, nutritional status, genetics, body temperature, and thyroid hormone levels.</w:t>
      </w:r>
    </w:p>
    <w:p w14:paraId="6DB537DB" w14:textId="77777777" w:rsidR="00065FF2" w:rsidRDefault="00065FF2" w:rsidP="00387C67">
      <w:pPr>
        <w:pStyle w:val="ListParagraph"/>
        <w:numPr>
          <w:ilvl w:val="0"/>
          <w:numId w:val="3"/>
        </w:numPr>
      </w:pPr>
      <w:r>
        <w:t>The great majority of energy expended (between 50 and 70 percent) daily comes from conducting life’s basic processes.</w:t>
      </w:r>
    </w:p>
    <w:p w14:paraId="1F745796" w14:textId="77777777" w:rsidR="00065FF2" w:rsidRDefault="00065FF2" w:rsidP="00387C67">
      <w:pPr>
        <w:pStyle w:val="ListParagraph"/>
        <w:numPr>
          <w:ilvl w:val="0"/>
          <w:numId w:val="3"/>
        </w:numPr>
      </w:pPr>
      <w:r>
        <w:t>The main control a person has over TEE is to increase physical activity.</w:t>
      </w:r>
    </w:p>
    <w:p w14:paraId="335BC891" w14:textId="77777777" w:rsidR="00065FF2" w:rsidRDefault="00065FF2" w:rsidP="00387C67">
      <w:pPr>
        <w:pStyle w:val="ListParagraph"/>
        <w:numPr>
          <w:ilvl w:val="0"/>
          <w:numId w:val="3"/>
        </w:numPr>
      </w:pPr>
      <w:r>
        <w:t>Energy intake is regulated by complex physiological responses and is influenced by genetics, behavior, and society.</w:t>
      </w:r>
    </w:p>
    <w:p w14:paraId="1279FB1E" w14:textId="04ABFB84" w:rsidR="00A139E3" w:rsidRPr="00387C67" w:rsidRDefault="00065FF2" w:rsidP="00387C67">
      <w:pPr>
        <w:pStyle w:val="ListParagraph"/>
        <w:numPr>
          <w:ilvl w:val="0"/>
          <w:numId w:val="3"/>
        </w:numPr>
      </w:pPr>
      <w:r>
        <w:t>Energy expenditure is also regulated by complex physiological</w:t>
      </w:r>
      <w:r w:rsidR="00AD11C2">
        <w:t>\]</w:t>
      </w:r>
      <w:r>
        <w:t xml:space="preserve"> responses and is influence by genetics, behavior, and society</w:t>
      </w:r>
      <w:r w:rsidR="00A139E3">
        <w:t>.</w:t>
      </w:r>
    </w:p>
    <w:p w14:paraId="1188C238" w14:textId="797841D4" w:rsidR="0096143B" w:rsidRDefault="00387C67" w:rsidP="00387C67">
      <w:pPr>
        <w:pStyle w:val="Heading1"/>
      </w:pPr>
      <w:r>
        <w:t xml:space="preserve">Section </w:t>
      </w:r>
      <w:r w:rsidR="00E0732D">
        <w:t>11</w:t>
      </w:r>
      <w:r>
        <w:t xml:space="preserve">.3 – </w:t>
      </w:r>
      <w:r w:rsidR="00E0732D">
        <w:t>Too Little or Too Much Weight: What Are the Health Risks?</w:t>
      </w:r>
    </w:p>
    <w:p w14:paraId="042F00BD" w14:textId="183586B4" w:rsidR="00387C67" w:rsidRDefault="00387C67" w:rsidP="00387C67">
      <w:r>
        <w:tab/>
      </w:r>
      <w:r>
        <w:rPr>
          <w:b/>
        </w:rPr>
        <w:t>Learning Objective:</w:t>
      </w:r>
    </w:p>
    <w:p w14:paraId="303E8B03" w14:textId="305ADC39" w:rsidR="00A139E3" w:rsidRDefault="00E0732D" w:rsidP="006E61D1">
      <w:pPr>
        <w:pStyle w:val="ListParagraph"/>
        <w:numPr>
          <w:ilvl w:val="0"/>
          <w:numId w:val="4"/>
        </w:numPr>
      </w:pPr>
      <w:r>
        <w:t>Discern the differences in health risks associated with being underweight and being overweight</w:t>
      </w:r>
      <w:r w:rsidR="00A139E3">
        <w:t>.</w:t>
      </w:r>
    </w:p>
    <w:p w14:paraId="1264D743" w14:textId="3986472F" w:rsidR="00387C67" w:rsidRDefault="00387C67" w:rsidP="00387C67">
      <w:pPr>
        <w:ind w:left="720"/>
      </w:pPr>
      <w:r>
        <w:rPr>
          <w:b/>
        </w:rPr>
        <w:t>Key Content:</w:t>
      </w:r>
    </w:p>
    <w:p w14:paraId="3DEE52ED" w14:textId="77777777" w:rsidR="00E0732D" w:rsidRDefault="00E0732D" w:rsidP="00D33E1C">
      <w:pPr>
        <w:pStyle w:val="ListParagraph"/>
        <w:numPr>
          <w:ilvl w:val="0"/>
          <w:numId w:val="11"/>
        </w:numPr>
      </w:pPr>
      <w:r>
        <w:t>The number of people considered overweight and obese in the world has now surpassed the number that is starving.</w:t>
      </w:r>
    </w:p>
    <w:p w14:paraId="0AFB058B" w14:textId="199B9261" w:rsidR="00EB37D8" w:rsidRDefault="00E0732D" w:rsidP="00D33E1C">
      <w:pPr>
        <w:pStyle w:val="ListParagraph"/>
        <w:numPr>
          <w:ilvl w:val="0"/>
          <w:numId w:val="11"/>
        </w:numPr>
      </w:pPr>
      <w:r>
        <w:t xml:space="preserve">As BMIs increase over 25, the risks </w:t>
      </w:r>
      <w:r w:rsidR="00A41108">
        <w:t xml:space="preserve">increase </w:t>
      </w:r>
      <w:r>
        <w:t>for heart disease, Type 2 diabetes, hypertension, endometrial cancer, breast cancer, colon cancer, stroke, osteoarthritis, liver disease, gallbladder disorders, and hormonal disorders</w:t>
      </w:r>
      <w:r w:rsidR="00EB37D8">
        <w:t>.</w:t>
      </w:r>
    </w:p>
    <w:p w14:paraId="004B60CB" w14:textId="3E9D85A4" w:rsidR="00A41108" w:rsidRDefault="00A41108" w:rsidP="00D33E1C">
      <w:pPr>
        <w:pStyle w:val="ListParagraph"/>
        <w:numPr>
          <w:ilvl w:val="0"/>
          <w:numId w:val="11"/>
        </w:numPr>
      </w:pPr>
      <w:r>
        <w:t>Being underweight is linked to nutritional deficiencies. These deficiencies cause iron-deficiency anemia and also delayed wound healing, hormonal abnormalities, increased susceptibility to infection, and increased risk of some chronic diseases such as osteoporosis. In children, being underweight can stunt growth.</w:t>
      </w:r>
    </w:p>
    <w:p w14:paraId="54255A30" w14:textId="73522599" w:rsidR="00A41108" w:rsidRDefault="00A41108" w:rsidP="00D33E1C">
      <w:pPr>
        <w:pStyle w:val="ListParagraph"/>
        <w:numPr>
          <w:ilvl w:val="0"/>
          <w:numId w:val="11"/>
        </w:numPr>
      </w:pPr>
      <w:r>
        <w:t>Eating disorders resulting in being underweight can have severe consequences to health. The eating disorder anorexia nervosa has the highest mortality rate of all mental illnesses.</w:t>
      </w:r>
    </w:p>
    <w:p w14:paraId="31795BA3" w14:textId="56ECF0F6" w:rsidR="00A41108" w:rsidRDefault="00A41108" w:rsidP="00D33E1C">
      <w:pPr>
        <w:pStyle w:val="ListParagraph"/>
        <w:numPr>
          <w:ilvl w:val="0"/>
          <w:numId w:val="11"/>
        </w:numPr>
      </w:pPr>
      <w:r>
        <w:t>All underweight people do not have anorexia and all overweight people do not have an eating disorder.</w:t>
      </w:r>
    </w:p>
    <w:p w14:paraId="62762867" w14:textId="782D6728" w:rsidR="00A41108" w:rsidRDefault="00A41108" w:rsidP="00A41108">
      <w:pPr>
        <w:pStyle w:val="Heading1"/>
      </w:pPr>
      <w:r>
        <w:t>Section 11.4 – Dietary, Behavioral, and Physical Activity Recommendations for Weight Management</w:t>
      </w:r>
    </w:p>
    <w:p w14:paraId="69F8EFC0" w14:textId="77777777" w:rsidR="00A41108" w:rsidRDefault="00A41108" w:rsidP="00A41108">
      <w:r>
        <w:tab/>
      </w:r>
      <w:r>
        <w:rPr>
          <w:b/>
        </w:rPr>
        <w:t>Learning Objective:</w:t>
      </w:r>
    </w:p>
    <w:p w14:paraId="0960EF4F" w14:textId="77777777" w:rsidR="00A41108" w:rsidRDefault="00A41108" w:rsidP="00A41108">
      <w:pPr>
        <w:pStyle w:val="ListParagraph"/>
        <w:numPr>
          <w:ilvl w:val="0"/>
          <w:numId w:val="4"/>
        </w:numPr>
      </w:pPr>
      <w:r>
        <w:t>Explain the complementary actions of dietary changes and increased physical activity level on health.</w:t>
      </w:r>
    </w:p>
    <w:p w14:paraId="0CB8DE6C" w14:textId="112CF4F8" w:rsidR="00A41108" w:rsidRDefault="00A41108" w:rsidP="00A41108">
      <w:pPr>
        <w:pStyle w:val="ListParagraph"/>
        <w:numPr>
          <w:ilvl w:val="0"/>
          <w:numId w:val="4"/>
        </w:numPr>
      </w:pPr>
      <w:r>
        <w:t xml:space="preserve">Formulate an exercise plan that fits your lifestyle and that follow the </w:t>
      </w:r>
      <w:r>
        <w:rPr>
          <w:i/>
        </w:rPr>
        <w:t>2008 Physical Activity Guidelines for Americans</w:t>
      </w:r>
      <w:r>
        <w:t>.</w:t>
      </w:r>
    </w:p>
    <w:p w14:paraId="5AE4E542" w14:textId="3D3A0690" w:rsidR="00A41108" w:rsidRDefault="00A41108" w:rsidP="00A41108">
      <w:pPr>
        <w:ind w:left="720"/>
      </w:pPr>
      <w:r>
        <w:rPr>
          <w:b/>
        </w:rPr>
        <w:lastRenderedPageBreak/>
        <w:t>Key Content:</w:t>
      </w:r>
    </w:p>
    <w:p w14:paraId="761A8CF0" w14:textId="06255A7E" w:rsidR="00A41108" w:rsidRDefault="00A41108" w:rsidP="00A41108">
      <w:pPr>
        <w:pStyle w:val="ListParagraph"/>
        <w:numPr>
          <w:ilvl w:val="0"/>
          <w:numId w:val="4"/>
        </w:numPr>
      </w:pPr>
      <w:r>
        <w:t>Successful weight loss is defined as when individuals intentionally lose at least 10% of their body weight and keep it off for at least one year.</w:t>
      </w:r>
    </w:p>
    <w:p w14:paraId="620D4633" w14:textId="1BF3740E" w:rsidR="00A41108" w:rsidRDefault="00A41108" w:rsidP="00A41108">
      <w:pPr>
        <w:pStyle w:val="ListParagraph"/>
        <w:numPr>
          <w:ilvl w:val="0"/>
          <w:numId w:val="4"/>
        </w:numPr>
      </w:pPr>
      <w:r>
        <w:t>Although there is a great variety of approaches to achieve successful weight loss</w:t>
      </w:r>
      <w:r w:rsidR="00C1782E">
        <w:t xml:space="preserve"> most report that it involves adhering to a low-calorie, low-fat diet and doing high levels of activity (about one hour of exercise per day).</w:t>
      </w:r>
    </w:p>
    <w:p w14:paraId="65B7ED30" w14:textId="7113FD6B" w:rsidR="00C1782E" w:rsidRDefault="00C1782E" w:rsidP="00A41108">
      <w:pPr>
        <w:pStyle w:val="ListParagraph"/>
        <w:numPr>
          <w:ilvl w:val="0"/>
          <w:numId w:val="4"/>
        </w:numPr>
      </w:pPr>
      <w:r>
        <w:t xml:space="preserve">The </w:t>
      </w:r>
      <w:r>
        <w:rPr>
          <w:i/>
        </w:rPr>
        <w:t>2010 Dietary Guidelines for Americans</w:t>
      </w:r>
      <w:r>
        <w:t xml:space="preserve"> recommendations are based upon scientific evidence.</w:t>
      </w:r>
    </w:p>
    <w:p w14:paraId="26EDD4C7" w14:textId="53FFAA92" w:rsidR="00C1782E" w:rsidRDefault="00C1782E" w:rsidP="00A41108">
      <w:pPr>
        <w:pStyle w:val="ListParagraph"/>
        <w:numPr>
          <w:ilvl w:val="0"/>
          <w:numId w:val="4"/>
        </w:numPr>
      </w:pPr>
      <w:r>
        <w:t xml:space="preserve">The other part of the energy balance equation is physical activity. The </w:t>
      </w:r>
      <w:r>
        <w:rPr>
          <w:i/>
        </w:rPr>
        <w:t>2010 Dietary Guidelines</w:t>
      </w:r>
      <w:r>
        <w:t xml:space="preserve"> were complemented by the </w:t>
      </w:r>
      <w:r>
        <w:rPr>
          <w:i/>
        </w:rPr>
        <w:t>2008 Physical Activity Guidelines for Americans</w:t>
      </w:r>
      <w:r>
        <w:t xml:space="preserve"> issued by the HHS in an effort to provide evidence-based guidelines for appropriate physical activity levels.</w:t>
      </w:r>
    </w:p>
    <w:p w14:paraId="25D41393" w14:textId="42730F8F" w:rsidR="00C1782E" w:rsidRDefault="00C1782E" w:rsidP="00A41108">
      <w:pPr>
        <w:pStyle w:val="ListParagraph"/>
        <w:numPr>
          <w:ilvl w:val="0"/>
          <w:numId w:val="4"/>
        </w:numPr>
      </w:pPr>
      <w:r>
        <w:t>On a national level, strategies addressing overweight and obesity in the past have not been all that successful as obesity levels continue to climb. However, in the recent past (2007 – 2011) several newly created initiatives and organizations are actively reinforcing strategies that aim to meet the challenge of improving the health of all Americans.</w:t>
      </w:r>
    </w:p>
    <w:p w14:paraId="2412D4E7" w14:textId="77777777" w:rsidR="00560407" w:rsidRDefault="00560407" w:rsidP="00560407"/>
    <w:p w14:paraId="162148C1" w14:textId="77777777" w:rsidR="00560407" w:rsidRPr="0073536C" w:rsidRDefault="00560407" w:rsidP="00560407">
      <w:pPr>
        <w:rPr>
          <w:b/>
        </w:rPr>
      </w:pPr>
      <w:r w:rsidRPr="0073536C">
        <w:rPr>
          <w:b/>
        </w:rPr>
        <w:t xml:space="preserve">Terminology Check Lists: </w:t>
      </w:r>
    </w:p>
    <w:p w14:paraId="15F0DAD9" w14:textId="77777777" w:rsidR="00560407" w:rsidRPr="0073536C" w:rsidRDefault="00560407" w:rsidP="00560407"/>
    <w:p w14:paraId="54087C4A" w14:textId="77777777" w:rsidR="00560407" w:rsidRPr="0073536C" w:rsidRDefault="00560407" w:rsidP="00560407">
      <w:r w:rsidRPr="0073536C">
        <w:t xml:space="preserve"> </w:t>
      </w:r>
    </w:p>
    <w:p w14:paraId="44E09DA9" w14:textId="2280631F" w:rsidR="00560407" w:rsidRDefault="00560407" w:rsidP="00560407">
      <w:r>
        <w:rPr>
          <w:b/>
          <w:u w:val="single"/>
        </w:rPr>
        <w:t>Overweight</w:t>
      </w:r>
      <w:r w:rsidRPr="0073536C">
        <w:rPr>
          <w:b/>
          <w:u w:val="single"/>
        </w:rPr>
        <w:t>-</w:t>
      </w:r>
      <w:r w:rsidRPr="000612FE">
        <w:rPr>
          <w:rFonts w:ascii="Times New Roman" w:hAnsi="Times New Roman" w:cs="Times New Roman"/>
          <w:color w:val="333333"/>
          <w:sz w:val="19"/>
          <w:szCs w:val="19"/>
        </w:rPr>
        <w:t xml:space="preserve"> </w:t>
      </w:r>
      <w:r w:rsidRPr="00560407">
        <w:t>Having more weight than normal for a particular height (BMI between 25 and 29.9).</w:t>
      </w:r>
    </w:p>
    <w:p w14:paraId="32676BD6" w14:textId="77777777" w:rsidR="00560407" w:rsidRPr="0073536C" w:rsidRDefault="00560407" w:rsidP="00560407"/>
    <w:p w14:paraId="2E22CAC1" w14:textId="1ABCA25C" w:rsidR="00560407" w:rsidRDefault="00560407" w:rsidP="00560407">
      <w:r>
        <w:rPr>
          <w:b/>
          <w:u w:val="single"/>
        </w:rPr>
        <w:t>Obese</w:t>
      </w:r>
      <w:r>
        <w:rPr>
          <w:b/>
          <w:u w:val="single"/>
        </w:rPr>
        <w:t>-</w:t>
      </w:r>
      <w:r w:rsidRPr="0073536C">
        <w:t xml:space="preserve"> </w:t>
      </w:r>
      <w:r w:rsidRPr="00560407">
        <w:t>Having excess body fat (BMI greater than 30).</w:t>
      </w:r>
    </w:p>
    <w:p w14:paraId="51AD6582" w14:textId="77777777" w:rsidR="00560407" w:rsidRDefault="00560407" w:rsidP="00560407">
      <w:pPr>
        <w:rPr>
          <w:b/>
          <w:u w:val="single"/>
        </w:rPr>
      </w:pPr>
    </w:p>
    <w:p w14:paraId="49879EE7" w14:textId="6747D5E4" w:rsidR="00560407" w:rsidRDefault="00560407" w:rsidP="00560407">
      <w:r>
        <w:rPr>
          <w:b/>
          <w:u w:val="single"/>
        </w:rPr>
        <w:t>Body Mass Index (BMI)</w:t>
      </w:r>
      <w:r>
        <w:rPr>
          <w:b/>
          <w:u w:val="single"/>
        </w:rPr>
        <w:t xml:space="preserve">- </w:t>
      </w:r>
      <w:r w:rsidRPr="00560407">
        <w:t>A measurement that associates height and weight, and is a more comprehensive measurement of body fatness than weight alone.</w:t>
      </w:r>
    </w:p>
    <w:p w14:paraId="49E5734E" w14:textId="77777777" w:rsidR="00560407" w:rsidRPr="0073536C" w:rsidRDefault="00560407" w:rsidP="00560407"/>
    <w:p w14:paraId="41E307CA" w14:textId="4AF3FDD4" w:rsidR="00560407" w:rsidRDefault="004709BD" w:rsidP="00560407">
      <w:r>
        <w:rPr>
          <w:b/>
          <w:u w:val="single"/>
        </w:rPr>
        <w:t>Energy balance</w:t>
      </w:r>
      <w:r w:rsidR="00560407">
        <w:t xml:space="preserve"> - </w:t>
      </w:r>
      <w:r w:rsidRPr="004709BD">
        <w:t>When energy intake is equal to energy expended.</w:t>
      </w:r>
    </w:p>
    <w:p w14:paraId="0D5D7F2B" w14:textId="77777777" w:rsidR="004709BD" w:rsidRDefault="004709BD" w:rsidP="00560407"/>
    <w:p w14:paraId="3DAEAEB8" w14:textId="7A7C8BA1" w:rsidR="00560407" w:rsidRDefault="004709BD" w:rsidP="00560407">
      <w:r>
        <w:rPr>
          <w:b/>
          <w:u w:val="single"/>
        </w:rPr>
        <w:t>Estimated Energy Requirement (EER)</w:t>
      </w:r>
      <w:r w:rsidR="00560407" w:rsidRPr="00BE2A30">
        <w:rPr>
          <w:b/>
          <w:u w:val="single"/>
        </w:rPr>
        <w:t xml:space="preserve"> </w:t>
      </w:r>
      <w:r w:rsidR="00560407">
        <w:rPr>
          <w:b/>
          <w:u w:val="single"/>
        </w:rPr>
        <w:t>-</w:t>
      </w:r>
      <w:r w:rsidR="00560407" w:rsidRPr="00E94370">
        <w:t xml:space="preserve"> </w:t>
      </w:r>
      <w:r w:rsidRPr="004709BD">
        <w:t>Energy intake values that have been established to preserve energy balance in healthy adults of a specific age, gender, weight, and height, and category of physical activity concurrent with good health.</w:t>
      </w:r>
    </w:p>
    <w:p w14:paraId="7171969E" w14:textId="77777777" w:rsidR="00560407" w:rsidRPr="00E94370" w:rsidRDefault="00560407" w:rsidP="00560407"/>
    <w:p w14:paraId="4B8DD2B4" w14:textId="77777777" w:rsidR="002D7892" w:rsidRDefault="002D7892" w:rsidP="00560407">
      <w:r>
        <w:rPr>
          <w:b/>
          <w:u w:val="single"/>
        </w:rPr>
        <w:t>T</w:t>
      </w:r>
      <w:r w:rsidRPr="002D7892">
        <w:rPr>
          <w:b/>
          <w:u w:val="single"/>
        </w:rPr>
        <w:t>otal energy expenditure (TEE)</w:t>
      </w:r>
      <w:r w:rsidR="00560407" w:rsidRPr="00BE2A30">
        <w:rPr>
          <w:b/>
          <w:u w:val="single"/>
        </w:rPr>
        <w:t xml:space="preserve"> </w:t>
      </w:r>
      <w:r w:rsidR="00560407" w:rsidRPr="00815E34">
        <w:t xml:space="preserve">-  </w:t>
      </w:r>
      <w:r w:rsidRPr="002D7892">
        <w:t>The sum of energy used for basal metabolism; energy required for food digestion and absorption and energy expended during physical activity.</w:t>
      </w:r>
    </w:p>
    <w:p w14:paraId="1776C445" w14:textId="77777777" w:rsidR="002D7892" w:rsidRDefault="002D7892" w:rsidP="00560407"/>
    <w:p w14:paraId="4F0D800D" w14:textId="3546323F" w:rsidR="00560407" w:rsidRDefault="002D7892" w:rsidP="00560407">
      <w:r>
        <w:rPr>
          <w:b/>
          <w:u w:val="single"/>
        </w:rPr>
        <w:t>Basal metabolism</w:t>
      </w:r>
      <w:r w:rsidR="00560407" w:rsidRPr="00BE2A30">
        <w:rPr>
          <w:b/>
          <w:u w:val="single"/>
        </w:rPr>
        <w:t xml:space="preserve"> -</w:t>
      </w:r>
      <w:r w:rsidR="00560407" w:rsidRPr="00BE2A30">
        <w:t xml:space="preserve"> </w:t>
      </w:r>
      <w:r w:rsidRPr="002D7892">
        <w:t>The metabolic pathways necessary to support and maintain basic body functions (e.g. breathing, heartbeat, liver and kidney function) while at rest.</w:t>
      </w:r>
    </w:p>
    <w:p w14:paraId="61027CF7" w14:textId="77777777" w:rsidR="002D7892" w:rsidRDefault="002D7892" w:rsidP="00560407"/>
    <w:p w14:paraId="53F65148" w14:textId="77777777" w:rsidR="00560407" w:rsidRDefault="00560407" w:rsidP="00560407">
      <w:r>
        <w:rPr>
          <w:b/>
          <w:u w:val="single"/>
        </w:rPr>
        <w:t>Energy metabolism</w:t>
      </w:r>
      <w:r w:rsidRPr="00BE2A30">
        <w:rPr>
          <w:b/>
          <w:u w:val="single"/>
        </w:rPr>
        <w:t xml:space="preserve"> -</w:t>
      </w:r>
      <w:r w:rsidRPr="00BE2A30">
        <w:t xml:space="preserve"> </w:t>
      </w:r>
      <w:r w:rsidRPr="005D609A">
        <w:t>The metabolic pathways that release or store energy.</w:t>
      </w:r>
    </w:p>
    <w:p w14:paraId="2B9919D7" w14:textId="77777777" w:rsidR="00560407" w:rsidRDefault="00560407" w:rsidP="00560407"/>
    <w:p w14:paraId="6A250E29" w14:textId="729D8D75" w:rsidR="002D7892" w:rsidRDefault="002D7892" w:rsidP="00560407">
      <w:r>
        <w:rPr>
          <w:b/>
          <w:u w:val="single"/>
        </w:rPr>
        <w:lastRenderedPageBreak/>
        <w:t>Hunger</w:t>
      </w:r>
      <w:r w:rsidR="00560407" w:rsidRPr="0073536C">
        <w:rPr>
          <w:b/>
          <w:u w:val="single"/>
        </w:rPr>
        <w:t>-</w:t>
      </w:r>
      <w:r w:rsidR="00560407" w:rsidRPr="0073536C">
        <w:t xml:space="preserve"> </w:t>
      </w:r>
      <w:r w:rsidRPr="002D7892">
        <w:t>An unpleasant sensation of feeling empty that is communicated from the periphery to the brain via both mechanical and chemical signals</w:t>
      </w:r>
      <w:r>
        <w:t>.</w:t>
      </w:r>
    </w:p>
    <w:p w14:paraId="6C80E4CC" w14:textId="77777777" w:rsidR="002D7892" w:rsidRDefault="002D7892" w:rsidP="00560407"/>
    <w:p w14:paraId="63A50D6C" w14:textId="039057FC" w:rsidR="00560407" w:rsidRDefault="002D7892" w:rsidP="00560407">
      <w:r>
        <w:rPr>
          <w:b/>
          <w:u w:val="single"/>
        </w:rPr>
        <w:t>Satiety</w:t>
      </w:r>
      <w:r w:rsidR="00560407" w:rsidRPr="0073536C">
        <w:rPr>
          <w:b/>
          <w:u w:val="single"/>
        </w:rPr>
        <w:t>-</w:t>
      </w:r>
      <w:r w:rsidR="00560407" w:rsidRPr="0073536C">
        <w:t xml:space="preserve"> </w:t>
      </w:r>
      <w:r w:rsidRPr="002D7892">
        <w:t>The sensation of feeling full; determined by mechanical and chemical signals relayed from the periphery.</w:t>
      </w:r>
    </w:p>
    <w:p w14:paraId="538C135F" w14:textId="77777777" w:rsidR="002D7892" w:rsidRPr="0073536C" w:rsidRDefault="002D7892" w:rsidP="00560407"/>
    <w:p w14:paraId="4E00CC0A" w14:textId="77777777" w:rsidR="00560407" w:rsidRDefault="00560407" w:rsidP="00560407">
      <w:r>
        <w:rPr>
          <w:b/>
          <w:u w:val="single"/>
        </w:rPr>
        <w:t xml:space="preserve">Basal metabolism- </w:t>
      </w:r>
      <w:r w:rsidRPr="005D609A">
        <w:t>Metabolic pathways necessary to support and maintain the basic functions of the body (e.g. breathing, heartbeat, liver, and kidney function) while at rest.</w:t>
      </w:r>
    </w:p>
    <w:p w14:paraId="0FA07361" w14:textId="77777777" w:rsidR="00560407" w:rsidRDefault="00560407" w:rsidP="00560407"/>
    <w:p w14:paraId="041E88F1" w14:textId="73D726AC" w:rsidR="00560407" w:rsidRDefault="002D7892" w:rsidP="00560407">
      <w:r w:rsidRPr="002D7892">
        <w:rPr>
          <w:b/>
          <w:u w:val="single"/>
        </w:rPr>
        <w:t>Sedentary behavior</w:t>
      </w:r>
      <w:r w:rsidR="00560407">
        <w:rPr>
          <w:b/>
          <w:u w:val="single"/>
        </w:rPr>
        <w:t xml:space="preserve">- </w:t>
      </w:r>
      <w:r w:rsidR="00560407">
        <w:rPr>
          <w:b/>
        </w:rPr>
        <w:t xml:space="preserve"> </w:t>
      </w:r>
      <w:r w:rsidRPr="002D7892">
        <w:t>Activity during which energy expenditure is no more than one and one-half times the amount of energy expended while at rest (examples include sitting, reclining, or lying down while awake).</w:t>
      </w:r>
    </w:p>
    <w:p w14:paraId="1FF39A9C" w14:textId="77777777" w:rsidR="002D7892" w:rsidRPr="0073536C" w:rsidRDefault="002D7892" w:rsidP="00560407"/>
    <w:p w14:paraId="2278494A" w14:textId="49A2B050" w:rsidR="00560407" w:rsidRDefault="002D7892" w:rsidP="00560407">
      <w:r>
        <w:rPr>
          <w:b/>
          <w:u w:val="single"/>
        </w:rPr>
        <w:t>Anorexia nervosa</w:t>
      </w:r>
      <w:r w:rsidR="00560407">
        <w:rPr>
          <w:b/>
          <w:u w:val="single"/>
        </w:rPr>
        <w:t xml:space="preserve">- </w:t>
      </w:r>
      <w:r w:rsidRPr="002D7892">
        <w:t>A psychiatri</w:t>
      </w:r>
      <w:r>
        <w:t>c illness in which a person obs</w:t>
      </w:r>
      <w:r w:rsidRPr="002D7892">
        <w:t>esses over their weight and the food that they eat. Anorexia results in extreme nutrient inadequacy and, eventually, organ malfunction.</w:t>
      </w:r>
    </w:p>
    <w:p w14:paraId="7BA05726" w14:textId="77777777" w:rsidR="00560407" w:rsidRDefault="00560407" w:rsidP="00560407"/>
    <w:p w14:paraId="513C40A5" w14:textId="724A5420" w:rsidR="00560407" w:rsidRPr="00200665" w:rsidRDefault="002D7892" w:rsidP="00560407">
      <w:r>
        <w:rPr>
          <w:b/>
          <w:u w:val="single"/>
        </w:rPr>
        <w:t>Bulimia</w:t>
      </w:r>
      <w:r w:rsidR="00560407" w:rsidRPr="001627B8">
        <w:rPr>
          <w:b/>
          <w:u w:val="single"/>
        </w:rPr>
        <w:t xml:space="preserve"> </w:t>
      </w:r>
      <w:r w:rsidR="00560407">
        <w:rPr>
          <w:b/>
          <w:u w:val="single"/>
        </w:rPr>
        <w:t xml:space="preserve">- </w:t>
      </w:r>
      <w:r w:rsidR="00560407" w:rsidRPr="0073536C">
        <w:t xml:space="preserve"> </w:t>
      </w:r>
      <w:r w:rsidRPr="002D7892">
        <w:t>A psychiatric illness characterized by frequent episodes of eating large amounts of food followed by purging.</w:t>
      </w:r>
    </w:p>
    <w:p w14:paraId="0F88CCE4" w14:textId="77777777" w:rsidR="00560407" w:rsidRDefault="00560407" w:rsidP="00560407"/>
    <w:p w14:paraId="0E28FD3B" w14:textId="56C41A03" w:rsidR="00560407" w:rsidRDefault="002D7892" w:rsidP="00560407">
      <w:r>
        <w:rPr>
          <w:b/>
          <w:u w:val="single"/>
        </w:rPr>
        <w:t>Binge eating disorder</w:t>
      </w:r>
      <w:r w:rsidR="00560407">
        <w:rPr>
          <w:b/>
          <w:u w:val="single"/>
        </w:rPr>
        <w:t xml:space="preserve">-  </w:t>
      </w:r>
      <w:r w:rsidRPr="002D7892">
        <w:t>A non</w:t>
      </w:r>
      <w:r>
        <w:t>-</w:t>
      </w:r>
      <w:r w:rsidRPr="002D7892">
        <w:t>psychiatric disorder characterized by periodic losses of control over eating. The periods of excessive overeating are not followed by fasting or purging. People who have this disorder are often overweight or obese.</w:t>
      </w:r>
    </w:p>
    <w:p w14:paraId="55876EF7" w14:textId="77777777" w:rsidR="00560407" w:rsidRDefault="00560407" w:rsidP="00560407"/>
    <w:p w14:paraId="3A0CBFA7" w14:textId="77777777" w:rsidR="00560407" w:rsidRPr="00D33E1C" w:rsidRDefault="00560407" w:rsidP="00560407">
      <w:bookmarkStart w:id="0" w:name="_GoBack"/>
      <w:bookmarkEnd w:id="0"/>
    </w:p>
    <w:sectPr w:rsidR="00560407" w:rsidRPr="00D33E1C"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23FE"/>
    <w:multiLevelType w:val="hybridMultilevel"/>
    <w:tmpl w:val="EF60F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480BB6"/>
    <w:multiLevelType w:val="hybridMultilevel"/>
    <w:tmpl w:val="E73810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DA67E0"/>
    <w:multiLevelType w:val="hybridMultilevel"/>
    <w:tmpl w:val="E312D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0A5B8A"/>
    <w:multiLevelType w:val="hybridMultilevel"/>
    <w:tmpl w:val="CB52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5D047D2"/>
    <w:multiLevelType w:val="hybridMultilevel"/>
    <w:tmpl w:val="214C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3F35A48"/>
    <w:multiLevelType w:val="hybridMultilevel"/>
    <w:tmpl w:val="83082E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B811F81"/>
    <w:multiLevelType w:val="hybridMultilevel"/>
    <w:tmpl w:val="B4A49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58953E8"/>
    <w:multiLevelType w:val="hybridMultilevel"/>
    <w:tmpl w:val="31504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F2F02CD"/>
    <w:multiLevelType w:val="hybridMultilevel"/>
    <w:tmpl w:val="647C7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F815E7B"/>
    <w:multiLevelType w:val="hybridMultilevel"/>
    <w:tmpl w:val="D3BEA2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0"/>
  </w:num>
  <w:num w:numId="3">
    <w:abstractNumId w:val="3"/>
  </w:num>
  <w:num w:numId="4">
    <w:abstractNumId w:val="1"/>
  </w:num>
  <w:num w:numId="5">
    <w:abstractNumId w:val="2"/>
  </w:num>
  <w:num w:numId="6">
    <w:abstractNumId w:val="8"/>
  </w:num>
  <w:num w:numId="7">
    <w:abstractNumId w:val="7"/>
  </w:num>
  <w:num w:numId="8">
    <w:abstractNumId w:val="0"/>
  </w:num>
  <w:num w:numId="9">
    <w:abstractNumId w:val="4"/>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54"/>
    <w:rsid w:val="00065FF2"/>
    <w:rsid w:val="00084487"/>
    <w:rsid w:val="00094696"/>
    <w:rsid w:val="00094CE0"/>
    <w:rsid w:val="000A6717"/>
    <w:rsid w:val="000A6D57"/>
    <w:rsid w:val="000B45EB"/>
    <w:rsid w:val="000E3767"/>
    <w:rsid w:val="001044EA"/>
    <w:rsid w:val="0012439C"/>
    <w:rsid w:val="001303EE"/>
    <w:rsid w:val="001427DD"/>
    <w:rsid w:val="001673DE"/>
    <w:rsid w:val="00184C91"/>
    <w:rsid w:val="00191135"/>
    <w:rsid w:val="00191947"/>
    <w:rsid w:val="002560C9"/>
    <w:rsid w:val="002716A3"/>
    <w:rsid w:val="002922A4"/>
    <w:rsid w:val="00295FBA"/>
    <w:rsid w:val="002A45BD"/>
    <w:rsid w:val="002C4BF8"/>
    <w:rsid w:val="002D46AB"/>
    <w:rsid w:val="002D6F8E"/>
    <w:rsid w:val="002D7892"/>
    <w:rsid w:val="002F4256"/>
    <w:rsid w:val="003037B4"/>
    <w:rsid w:val="003318B1"/>
    <w:rsid w:val="00336B06"/>
    <w:rsid w:val="00341967"/>
    <w:rsid w:val="00345061"/>
    <w:rsid w:val="00387C67"/>
    <w:rsid w:val="003F2A78"/>
    <w:rsid w:val="003F6651"/>
    <w:rsid w:val="003F7004"/>
    <w:rsid w:val="004709BD"/>
    <w:rsid w:val="004E2F3C"/>
    <w:rsid w:val="004E5452"/>
    <w:rsid w:val="004F041E"/>
    <w:rsid w:val="005017A6"/>
    <w:rsid w:val="00511BD8"/>
    <w:rsid w:val="005322CE"/>
    <w:rsid w:val="00560407"/>
    <w:rsid w:val="005677D2"/>
    <w:rsid w:val="0059150A"/>
    <w:rsid w:val="005A51BF"/>
    <w:rsid w:val="005B3BA0"/>
    <w:rsid w:val="005B5A1C"/>
    <w:rsid w:val="005C3845"/>
    <w:rsid w:val="005D42CA"/>
    <w:rsid w:val="005D4536"/>
    <w:rsid w:val="005D6AC2"/>
    <w:rsid w:val="00613292"/>
    <w:rsid w:val="00631D9A"/>
    <w:rsid w:val="00647980"/>
    <w:rsid w:val="006672F6"/>
    <w:rsid w:val="0069081F"/>
    <w:rsid w:val="006E61D1"/>
    <w:rsid w:val="0071730F"/>
    <w:rsid w:val="00725E2A"/>
    <w:rsid w:val="0074406E"/>
    <w:rsid w:val="00771BE8"/>
    <w:rsid w:val="00784DBA"/>
    <w:rsid w:val="00785B51"/>
    <w:rsid w:val="00796922"/>
    <w:rsid w:val="007C3216"/>
    <w:rsid w:val="007D048C"/>
    <w:rsid w:val="007D44DA"/>
    <w:rsid w:val="007D6D1C"/>
    <w:rsid w:val="007E592B"/>
    <w:rsid w:val="008338FA"/>
    <w:rsid w:val="0086691E"/>
    <w:rsid w:val="00872EB7"/>
    <w:rsid w:val="008871D8"/>
    <w:rsid w:val="008E5FD5"/>
    <w:rsid w:val="0091598B"/>
    <w:rsid w:val="00920A88"/>
    <w:rsid w:val="00936ED5"/>
    <w:rsid w:val="009C25F9"/>
    <w:rsid w:val="009C4671"/>
    <w:rsid w:val="009C630C"/>
    <w:rsid w:val="009C6D9C"/>
    <w:rsid w:val="00A139E3"/>
    <w:rsid w:val="00A156A5"/>
    <w:rsid w:val="00A201DE"/>
    <w:rsid w:val="00A27C8A"/>
    <w:rsid w:val="00A41108"/>
    <w:rsid w:val="00A411F5"/>
    <w:rsid w:val="00A71825"/>
    <w:rsid w:val="00A748DA"/>
    <w:rsid w:val="00AD0154"/>
    <w:rsid w:val="00AD11C2"/>
    <w:rsid w:val="00AD6969"/>
    <w:rsid w:val="00B00B43"/>
    <w:rsid w:val="00B06A47"/>
    <w:rsid w:val="00B14C7B"/>
    <w:rsid w:val="00B25760"/>
    <w:rsid w:val="00B27121"/>
    <w:rsid w:val="00B3251A"/>
    <w:rsid w:val="00B34C97"/>
    <w:rsid w:val="00B45471"/>
    <w:rsid w:val="00B50E61"/>
    <w:rsid w:val="00B83357"/>
    <w:rsid w:val="00C00515"/>
    <w:rsid w:val="00C0760F"/>
    <w:rsid w:val="00C1782E"/>
    <w:rsid w:val="00C66800"/>
    <w:rsid w:val="00C908A0"/>
    <w:rsid w:val="00D255DC"/>
    <w:rsid w:val="00D3354D"/>
    <w:rsid w:val="00D33E1C"/>
    <w:rsid w:val="00D40EF6"/>
    <w:rsid w:val="00D62906"/>
    <w:rsid w:val="00D71994"/>
    <w:rsid w:val="00D72B86"/>
    <w:rsid w:val="00D855F2"/>
    <w:rsid w:val="00DA01AE"/>
    <w:rsid w:val="00DA09D4"/>
    <w:rsid w:val="00DA0E2B"/>
    <w:rsid w:val="00DC24E2"/>
    <w:rsid w:val="00DE1358"/>
    <w:rsid w:val="00DE4B61"/>
    <w:rsid w:val="00DF0204"/>
    <w:rsid w:val="00E0732D"/>
    <w:rsid w:val="00E122AE"/>
    <w:rsid w:val="00E31E97"/>
    <w:rsid w:val="00E47A65"/>
    <w:rsid w:val="00E928F2"/>
    <w:rsid w:val="00EB37D8"/>
    <w:rsid w:val="00EE062D"/>
    <w:rsid w:val="00EE25DC"/>
    <w:rsid w:val="00EF7A5B"/>
    <w:rsid w:val="00F14B8E"/>
    <w:rsid w:val="00F157BB"/>
    <w:rsid w:val="00F22CA8"/>
    <w:rsid w:val="00F4159E"/>
    <w:rsid w:val="00F41E67"/>
    <w:rsid w:val="00F7145C"/>
    <w:rsid w:val="00F97524"/>
    <w:rsid w:val="00FB5A3A"/>
    <w:rsid w:val="00FE592F"/>
    <w:rsid w:val="00FF00C9"/>
    <w:rsid w:val="00FF7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5FCE"/>
  <w15:chartTrackingRefBased/>
  <w15:docId w15:val="{3BEC6542-C9EF-024D-9ABC-3DE919AA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154"/>
  </w:style>
  <w:style w:type="paragraph" w:styleId="Heading1">
    <w:name w:val="heading 1"/>
    <w:basedOn w:val="Normal"/>
    <w:next w:val="Normal"/>
    <w:link w:val="Heading1Char"/>
    <w:uiPriority w:val="9"/>
    <w:qFormat/>
    <w:rsid w:val="00AD015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15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154"/>
    <w:pPr>
      <w:ind w:left="720"/>
      <w:contextualSpacing/>
    </w:pPr>
  </w:style>
  <w:style w:type="paragraph" w:styleId="Title">
    <w:name w:val="Title"/>
    <w:basedOn w:val="Normal"/>
    <w:next w:val="Normal"/>
    <w:link w:val="TitleChar"/>
    <w:uiPriority w:val="10"/>
    <w:qFormat/>
    <w:rsid w:val="00AD01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1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135">
      <w:bodyDiv w:val="1"/>
      <w:marLeft w:val="0"/>
      <w:marRight w:val="0"/>
      <w:marTop w:val="0"/>
      <w:marBottom w:val="0"/>
      <w:divBdr>
        <w:top w:val="none" w:sz="0" w:space="0" w:color="auto"/>
        <w:left w:val="none" w:sz="0" w:space="0" w:color="auto"/>
        <w:bottom w:val="none" w:sz="0" w:space="0" w:color="auto"/>
        <w:right w:val="none" w:sz="0" w:space="0" w:color="auto"/>
      </w:divBdr>
      <w:divsChild>
        <w:div w:id="1577548458">
          <w:marLeft w:val="0"/>
          <w:marRight w:val="0"/>
          <w:marTop w:val="0"/>
          <w:marBottom w:val="0"/>
          <w:divBdr>
            <w:top w:val="none" w:sz="0" w:space="0" w:color="auto"/>
            <w:left w:val="none" w:sz="0" w:space="0" w:color="auto"/>
            <w:bottom w:val="none" w:sz="0" w:space="0" w:color="auto"/>
            <w:right w:val="none" w:sz="0" w:space="0" w:color="auto"/>
          </w:divBdr>
          <w:divsChild>
            <w:div w:id="1720394423">
              <w:marLeft w:val="0"/>
              <w:marRight w:val="0"/>
              <w:marTop w:val="0"/>
              <w:marBottom w:val="0"/>
              <w:divBdr>
                <w:top w:val="none" w:sz="0" w:space="0" w:color="auto"/>
                <w:left w:val="none" w:sz="0" w:space="0" w:color="auto"/>
                <w:bottom w:val="none" w:sz="0" w:space="0" w:color="auto"/>
                <w:right w:val="none" w:sz="0" w:space="0" w:color="auto"/>
              </w:divBdr>
              <w:divsChild>
                <w:div w:id="140818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267535">
      <w:bodyDiv w:val="1"/>
      <w:marLeft w:val="0"/>
      <w:marRight w:val="0"/>
      <w:marTop w:val="0"/>
      <w:marBottom w:val="0"/>
      <w:divBdr>
        <w:top w:val="none" w:sz="0" w:space="0" w:color="auto"/>
        <w:left w:val="none" w:sz="0" w:space="0" w:color="auto"/>
        <w:bottom w:val="none" w:sz="0" w:space="0" w:color="auto"/>
        <w:right w:val="none" w:sz="0" w:space="0" w:color="auto"/>
      </w:divBdr>
      <w:divsChild>
        <w:div w:id="1204370553">
          <w:marLeft w:val="0"/>
          <w:marRight w:val="0"/>
          <w:marTop w:val="0"/>
          <w:marBottom w:val="0"/>
          <w:divBdr>
            <w:top w:val="none" w:sz="0" w:space="0" w:color="auto"/>
            <w:left w:val="none" w:sz="0" w:space="0" w:color="auto"/>
            <w:bottom w:val="none" w:sz="0" w:space="0" w:color="auto"/>
            <w:right w:val="none" w:sz="0" w:space="0" w:color="auto"/>
          </w:divBdr>
          <w:divsChild>
            <w:div w:id="389886978">
              <w:marLeft w:val="0"/>
              <w:marRight w:val="0"/>
              <w:marTop w:val="0"/>
              <w:marBottom w:val="0"/>
              <w:divBdr>
                <w:top w:val="none" w:sz="0" w:space="0" w:color="auto"/>
                <w:left w:val="none" w:sz="0" w:space="0" w:color="auto"/>
                <w:bottom w:val="none" w:sz="0" w:space="0" w:color="auto"/>
                <w:right w:val="none" w:sz="0" w:space="0" w:color="auto"/>
              </w:divBdr>
              <w:divsChild>
                <w:div w:id="62384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845015">
      <w:bodyDiv w:val="1"/>
      <w:marLeft w:val="0"/>
      <w:marRight w:val="0"/>
      <w:marTop w:val="0"/>
      <w:marBottom w:val="0"/>
      <w:divBdr>
        <w:top w:val="none" w:sz="0" w:space="0" w:color="auto"/>
        <w:left w:val="none" w:sz="0" w:space="0" w:color="auto"/>
        <w:bottom w:val="none" w:sz="0" w:space="0" w:color="auto"/>
        <w:right w:val="none" w:sz="0" w:space="0" w:color="auto"/>
      </w:divBdr>
      <w:divsChild>
        <w:div w:id="1649281252">
          <w:marLeft w:val="0"/>
          <w:marRight w:val="0"/>
          <w:marTop w:val="0"/>
          <w:marBottom w:val="0"/>
          <w:divBdr>
            <w:top w:val="none" w:sz="0" w:space="0" w:color="auto"/>
            <w:left w:val="none" w:sz="0" w:space="0" w:color="auto"/>
            <w:bottom w:val="none" w:sz="0" w:space="0" w:color="auto"/>
            <w:right w:val="none" w:sz="0" w:space="0" w:color="auto"/>
          </w:divBdr>
          <w:divsChild>
            <w:div w:id="1566914943">
              <w:marLeft w:val="0"/>
              <w:marRight w:val="0"/>
              <w:marTop w:val="0"/>
              <w:marBottom w:val="0"/>
              <w:divBdr>
                <w:top w:val="none" w:sz="0" w:space="0" w:color="auto"/>
                <w:left w:val="none" w:sz="0" w:space="0" w:color="auto"/>
                <w:bottom w:val="none" w:sz="0" w:space="0" w:color="auto"/>
                <w:right w:val="none" w:sz="0" w:space="0" w:color="auto"/>
              </w:divBdr>
              <w:divsChild>
                <w:div w:id="19029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477728">
      <w:bodyDiv w:val="1"/>
      <w:marLeft w:val="0"/>
      <w:marRight w:val="0"/>
      <w:marTop w:val="0"/>
      <w:marBottom w:val="0"/>
      <w:divBdr>
        <w:top w:val="none" w:sz="0" w:space="0" w:color="auto"/>
        <w:left w:val="none" w:sz="0" w:space="0" w:color="auto"/>
        <w:bottom w:val="none" w:sz="0" w:space="0" w:color="auto"/>
        <w:right w:val="none" w:sz="0" w:space="0" w:color="auto"/>
      </w:divBdr>
      <w:divsChild>
        <w:div w:id="712775108">
          <w:marLeft w:val="0"/>
          <w:marRight w:val="0"/>
          <w:marTop w:val="0"/>
          <w:marBottom w:val="0"/>
          <w:divBdr>
            <w:top w:val="none" w:sz="0" w:space="0" w:color="auto"/>
            <w:left w:val="none" w:sz="0" w:space="0" w:color="auto"/>
            <w:bottom w:val="none" w:sz="0" w:space="0" w:color="auto"/>
            <w:right w:val="none" w:sz="0" w:space="0" w:color="auto"/>
          </w:divBdr>
          <w:divsChild>
            <w:div w:id="2072187833">
              <w:marLeft w:val="0"/>
              <w:marRight w:val="0"/>
              <w:marTop w:val="0"/>
              <w:marBottom w:val="0"/>
              <w:divBdr>
                <w:top w:val="none" w:sz="0" w:space="0" w:color="auto"/>
                <w:left w:val="none" w:sz="0" w:space="0" w:color="auto"/>
                <w:bottom w:val="none" w:sz="0" w:space="0" w:color="auto"/>
                <w:right w:val="none" w:sz="0" w:space="0" w:color="auto"/>
              </w:divBdr>
              <w:divsChild>
                <w:div w:id="129063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023609">
      <w:bodyDiv w:val="1"/>
      <w:marLeft w:val="0"/>
      <w:marRight w:val="0"/>
      <w:marTop w:val="0"/>
      <w:marBottom w:val="0"/>
      <w:divBdr>
        <w:top w:val="none" w:sz="0" w:space="0" w:color="auto"/>
        <w:left w:val="none" w:sz="0" w:space="0" w:color="auto"/>
        <w:bottom w:val="none" w:sz="0" w:space="0" w:color="auto"/>
        <w:right w:val="none" w:sz="0" w:space="0" w:color="auto"/>
      </w:divBdr>
      <w:divsChild>
        <w:div w:id="1649243155">
          <w:marLeft w:val="0"/>
          <w:marRight w:val="0"/>
          <w:marTop w:val="0"/>
          <w:marBottom w:val="0"/>
          <w:divBdr>
            <w:top w:val="none" w:sz="0" w:space="0" w:color="auto"/>
            <w:left w:val="none" w:sz="0" w:space="0" w:color="auto"/>
            <w:bottom w:val="none" w:sz="0" w:space="0" w:color="auto"/>
            <w:right w:val="none" w:sz="0" w:space="0" w:color="auto"/>
          </w:divBdr>
          <w:divsChild>
            <w:div w:id="1327246381">
              <w:marLeft w:val="0"/>
              <w:marRight w:val="0"/>
              <w:marTop w:val="0"/>
              <w:marBottom w:val="0"/>
              <w:divBdr>
                <w:top w:val="none" w:sz="0" w:space="0" w:color="auto"/>
                <w:left w:val="none" w:sz="0" w:space="0" w:color="auto"/>
                <w:bottom w:val="none" w:sz="0" w:space="0" w:color="auto"/>
                <w:right w:val="none" w:sz="0" w:space="0" w:color="auto"/>
              </w:divBdr>
              <w:divsChild>
                <w:div w:id="69415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71020">
      <w:bodyDiv w:val="1"/>
      <w:marLeft w:val="0"/>
      <w:marRight w:val="0"/>
      <w:marTop w:val="0"/>
      <w:marBottom w:val="0"/>
      <w:divBdr>
        <w:top w:val="none" w:sz="0" w:space="0" w:color="auto"/>
        <w:left w:val="none" w:sz="0" w:space="0" w:color="auto"/>
        <w:bottom w:val="none" w:sz="0" w:space="0" w:color="auto"/>
        <w:right w:val="none" w:sz="0" w:space="0" w:color="auto"/>
      </w:divBdr>
      <w:divsChild>
        <w:div w:id="1739595462">
          <w:marLeft w:val="0"/>
          <w:marRight w:val="0"/>
          <w:marTop w:val="0"/>
          <w:marBottom w:val="0"/>
          <w:divBdr>
            <w:top w:val="none" w:sz="0" w:space="0" w:color="auto"/>
            <w:left w:val="none" w:sz="0" w:space="0" w:color="auto"/>
            <w:bottom w:val="none" w:sz="0" w:space="0" w:color="auto"/>
            <w:right w:val="none" w:sz="0" w:space="0" w:color="auto"/>
          </w:divBdr>
          <w:divsChild>
            <w:div w:id="197863513">
              <w:marLeft w:val="0"/>
              <w:marRight w:val="0"/>
              <w:marTop w:val="0"/>
              <w:marBottom w:val="0"/>
              <w:divBdr>
                <w:top w:val="none" w:sz="0" w:space="0" w:color="auto"/>
                <w:left w:val="none" w:sz="0" w:space="0" w:color="auto"/>
                <w:bottom w:val="none" w:sz="0" w:space="0" w:color="auto"/>
                <w:right w:val="none" w:sz="0" w:space="0" w:color="auto"/>
              </w:divBdr>
              <w:divsChild>
                <w:div w:id="187403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761231">
      <w:bodyDiv w:val="1"/>
      <w:marLeft w:val="0"/>
      <w:marRight w:val="0"/>
      <w:marTop w:val="0"/>
      <w:marBottom w:val="0"/>
      <w:divBdr>
        <w:top w:val="none" w:sz="0" w:space="0" w:color="auto"/>
        <w:left w:val="none" w:sz="0" w:space="0" w:color="auto"/>
        <w:bottom w:val="none" w:sz="0" w:space="0" w:color="auto"/>
        <w:right w:val="none" w:sz="0" w:space="0" w:color="auto"/>
      </w:divBdr>
      <w:divsChild>
        <w:div w:id="846990591">
          <w:marLeft w:val="0"/>
          <w:marRight w:val="0"/>
          <w:marTop w:val="0"/>
          <w:marBottom w:val="0"/>
          <w:divBdr>
            <w:top w:val="none" w:sz="0" w:space="0" w:color="auto"/>
            <w:left w:val="none" w:sz="0" w:space="0" w:color="auto"/>
            <w:bottom w:val="none" w:sz="0" w:space="0" w:color="auto"/>
            <w:right w:val="none" w:sz="0" w:space="0" w:color="auto"/>
          </w:divBdr>
          <w:divsChild>
            <w:div w:id="1737508997">
              <w:marLeft w:val="0"/>
              <w:marRight w:val="0"/>
              <w:marTop w:val="0"/>
              <w:marBottom w:val="0"/>
              <w:divBdr>
                <w:top w:val="none" w:sz="0" w:space="0" w:color="auto"/>
                <w:left w:val="none" w:sz="0" w:space="0" w:color="auto"/>
                <w:bottom w:val="none" w:sz="0" w:space="0" w:color="auto"/>
                <w:right w:val="none" w:sz="0" w:space="0" w:color="auto"/>
              </w:divBdr>
              <w:divsChild>
                <w:div w:id="182635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200568">
      <w:bodyDiv w:val="1"/>
      <w:marLeft w:val="0"/>
      <w:marRight w:val="0"/>
      <w:marTop w:val="0"/>
      <w:marBottom w:val="0"/>
      <w:divBdr>
        <w:top w:val="none" w:sz="0" w:space="0" w:color="auto"/>
        <w:left w:val="none" w:sz="0" w:space="0" w:color="auto"/>
        <w:bottom w:val="none" w:sz="0" w:space="0" w:color="auto"/>
        <w:right w:val="none" w:sz="0" w:space="0" w:color="auto"/>
      </w:divBdr>
      <w:divsChild>
        <w:div w:id="706224155">
          <w:marLeft w:val="0"/>
          <w:marRight w:val="0"/>
          <w:marTop w:val="0"/>
          <w:marBottom w:val="0"/>
          <w:divBdr>
            <w:top w:val="none" w:sz="0" w:space="0" w:color="auto"/>
            <w:left w:val="none" w:sz="0" w:space="0" w:color="auto"/>
            <w:bottom w:val="none" w:sz="0" w:space="0" w:color="auto"/>
            <w:right w:val="none" w:sz="0" w:space="0" w:color="auto"/>
          </w:divBdr>
          <w:divsChild>
            <w:div w:id="450124981">
              <w:marLeft w:val="0"/>
              <w:marRight w:val="0"/>
              <w:marTop w:val="0"/>
              <w:marBottom w:val="0"/>
              <w:divBdr>
                <w:top w:val="none" w:sz="0" w:space="0" w:color="auto"/>
                <w:left w:val="none" w:sz="0" w:space="0" w:color="auto"/>
                <w:bottom w:val="none" w:sz="0" w:space="0" w:color="auto"/>
                <w:right w:val="none" w:sz="0" w:space="0" w:color="auto"/>
              </w:divBdr>
              <w:divsChild>
                <w:div w:id="7179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435934">
      <w:bodyDiv w:val="1"/>
      <w:marLeft w:val="0"/>
      <w:marRight w:val="0"/>
      <w:marTop w:val="0"/>
      <w:marBottom w:val="0"/>
      <w:divBdr>
        <w:top w:val="none" w:sz="0" w:space="0" w:color="auto"/>
        <w:left w:val="none" w:sz="0" w:space="0" w:color="auto"/>
        <w:bottom w:val="none" w:sz="0" w:space="0" w:color="auto"/>
        <w:right w:val="none" w:sz="0" w:space="0" w:color="auto"/>
      </w:divBdr>
      <w:divsChild>
        <w:div w:id="1228879210">
          <w:marLeft w:val="0"/>
          <w:marRight w:val="0"/>
          <w:marTop w:val="0"/>
          <w:marBottom w:val="0"/>
          <w:divBdr>
            <w:top w:val="none" w:sz="0" w:space="0" w:color="auto"/>
            <w:left w:val="none" w:sz="0" w:space="0" w:color="auto"/>
            <w:bottom w:val="none" w:sz="0" w:space="0" w:color="auto"/>
            <w:right w:val="none" w:sz="0" w:space="0" w:color="auto"/>
          </w:divBdr>
          <w:divsChild>
            <w:div w:id="1012949861">
              <w:marLeft w:val="0"/>
              <w:marRight w:val="0"/>
              <w:marTop w:val="0"/>
              <w:marBottom w:val="0"/>
              <w:divBdr>
                <w:top w:val="none" w:sz="0" w:space="0" w:color="auto"/>
                <w:left w:val="none" w:sz="0" w:space="0" w:color="auto"/>
                <w:bottom w:val="none" w:sz="0" w:space="0" w:color="auto"/>
                <w:right w:val="none" w:sz="0" w:space="0" w:color="auto"/>
              </w:divBdr>
              <w:divsChild>
                <w:div w:id="42646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211318">
      <w:bodyDiv w:val="1"/>
      <w:marLeft w:val="0"/>
      <w:marRight w:val="0"/>
      <w:marTop w:val="0"/>
      <w:marBottom w:val="0"/>
      <w:divBdr>
        <w:top w:val="none" w:sz="0" w:space="0" w:color="auto"/>
        <w:left w:val="none" w:sz="0" w:space="0" w:color="auto"/>
        <w:bottom w:val="none" w:sz="0" w:space="0" w:color="auto"/>
        <w:right w:val="none" w:sz="0" w:space="0" w:color="auto"/>
      </w:divBdr>
      <w:divsChild>
        <w:div w:id="1245064203">
          <w:marLeft w:val="0"/>
          <w:marRight w:val="0"/>
          <w:marTop w:val="0"/>
          <w:marBottom w:val="0"/>
          <w:divBdr>
            <w:top w:val="none" w:sz="0" w:space="0" w:color="auto"/>
            <w:left w:val="none" w:sz="0" w:space="0" w:color="auto"/>
            <w:bottom w:val="none" w:sz="0" w:space="0" w:color="auto"/>
            <w:right w:val="none" w:sz="0" w:space="0" w:color="auto"/>
          </w:divBdr>
          <w:divsChild>
            <w:div w:id="118577303">
              <w:marLeft w:val="0"/>
              <w:marRight w:val="0"/>
              <w:marTop w:val="0"/>
              <w:marBottom w:val="0"/>
              <w:divBdr>
                <w:top w:val="none" w:sz="0" w:space="0" w:color="auto"/>
                <w:left w:val="none" w:sz="0" w:space="0" w:color="auto"/>
                <w:bottom w:val="none" w:sz="0" w:space="0" w:color="auto"/>
                <w:right w:val="none" w:sz="0" w:space="0" w:color="auto"/>
              </w:divBdr>
              <w:divsChild>
                <w:div w:id="20699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404273">
      <w:bodyDiv w:val="1"/>
      <w:marLeft w:val="0"/>
      <w:marRight w:val="0"/>
      <w:marTop w:val="0"/>
      <w:marBottom w:val="0"/>
      <w:divBdr>
        <w:top w:val="none" w:sz="0" w:space="0" w:color="auto"/>
        <w:left w:val="none" w:sz="0" w:space="0" w:color="auto"/>
        <w:bottom w:val="none" w:sz="0" w:space="0" w:color="auto"/>
        <w:right w:val="none" w:sz="0" w:space="0" w:color="auto"/>
      </w:divBdr>
      <w:divsChild>
        <w:div w:id="773283064">
          <w:marLeft w:val="0"/>
          <w:marRight w:val="0"/>
          <w:marTop w:val="0"/>
          <w:marBottom w:val="0"/>
          <w:divBdr>
            <w:top w:val="none" w:sz="0" w:space="0" w:color="auto"/>
            <w:left w:val="none" w:sz="0" w:space="0" w:color="auto"/>
            <w:bottom w:val="none" w:sz="0" w:space="0" w:color="auto"/>
            <w:right w:val="none" w:sz="0" w:space="0" w:color="auto"/>
          </w:divBdr>
          <w:divsChild>
            <w:div w:id="1887989689">
              <w:marLeft w:val="0"/>
              <w:marRight w:val="0"/>
              <w:marTop w:val="0"/>
              <w:marBottom w:val="0"/>
              <w:divBdr>
                <w:top w:val="none" w:sz="0" w:space="0" w:color="auto"/>
                <w:left w:val="none" w:sz="0" w:space="0" w:color="auto"/>
                <w:bottom w:val="none" w:sz="0" w:space="0" w:color="auto"/>
                <w:right w:val="none" w:sz="0" w:space="0" w:color="auto"/>
              </w:divBdr>
              <w:divsChild>
                <w:div w:id="114592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598145">
      <w:bodyDiv w:val="1"/>
      <w:marLeft w:val="0"/>
      <w:marRight w:val="0"/>
      <w:marTop w:val="0"/>
      <w:marBottom w:val="0"/>
      <w:divBdr>
        <w:top w:val="none" w:sz="0" w:space="0" w:color="auto"/>
        <w:left w:val="none" w:sz="0" w:space="0" w:color="auto"/>
        <w:bottom w:val="none" w:sz="0" w:space="0" w:color="auto"/>
        <w:right w:val="none" w:sz="0" w:space="0" w:color="auto"/>
      </w:divBdr>
      <w:divsChild>
        <w:div w:id="1240409937">
          <w:marLeft w:val="0"/>
          <w:marRight w:val="0"/>
          <w:marTop w:val="0"/>
          <w:marBottom w:val="0"/>
          <w:divBdr>
            <w:top w:val="none" w:sz="0" w:space="0" w:color="auto"/>
            <w:left w:val="none" w:sz="0" w:space="0" w:color="auto"/>
            <w:bottom w:val="none" w:sz="0" w:space="0" w:color="auto"/>
            <w:right w:val="none" w:sz="0" w:space="0" w:color="auto"/>
          </w:divBdr>
          <w:divsChild>
            <w:div w:id="2063357570">
              <w:marLeft w:val="0"/>
              <w:marRight w:val="0"/>
              <w:marTop w:val="0"/>
              <w:marBottom w:val="0"/>
              <w:divBdr>
                <w:top w:val="none" w:sz="0" w:space="0" w:color="auto"/>
                <w:left w:val="none" w:sz="0" w:space="0" w:color="auto"/>
                <w:bottom w:val="none" w:sz="0" w:space="0" w:color="auto"/>
                <w:right w:val="none" w:sz="0" w:space="0" w:color="auto"/>
              </w:divBdr>
              <w:divsChild>
                <w:div w:id="18415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895227">
      <w:bodyDiv w:val="1"/>
      <w:marLeft w:val="0"/>
      <w:marRight w:val="0"/>
      <w:marTop w:val="0"/>
      <w:marBottom w:val="0"/>
      <w:divBdr>
        <w:top w:val="none" w:sz="0" w:space="0" w:color="auto"/>
        <w:left w:val="none" w:sz="0" w:space="0" w:color="auto"/>
        <w:bottom w:val="none" w:sz="0" w:space="0" w:color="auto"/>
        <w:right w:val="none" w:sz="0" w:space="0" w:color="auto"/>
      </w:divBdr>
      <w:divsChild>
        <w:div w:id="1818064763">
          <w:marLeft w:val="0"/>
          <w:marRight w:val="0"/>
          <w:marTop w:val="0"/>
          <w:marBottom w:val="0"/>
          <w:divBdr>
            <w:top w:val="none" w:sz="0" w:space="0" w:color="auto"/>
            <w:left w:val="none" w:sz="0" w:space="0" w:color="auto"/>
            <w:bottom w:val="none" w:sz="0" w:space="0" w:color="auto"/>
            <w:right w:val="none" w:sz="0" w:space="0" w:color="auto"/>
          </w:divBdr>
          <w:divsChild>
            <w:div w:id="1836338054">
              <w:marLeft w:val="0"/>
              <w:marRight w:val="0"/>
              <w:marTop w:val="0"/>
              <w:marBottom w:val="0"/>
              <w:divBdr>
                <w:top w:val="none" w:sz="0" w:space="0" w:color="auto"/>
                <w:left w:val="none" w:sz="0" w:space="0" w:color="auto"/>
                <w:bottom w:val="none" w:sz="0" w:space="0" w:color="auto"/>
                <w:right w:val="none" w:sz="0" w:space="0" w:color="auto"/>
              </w:divBdr>
              <w:divsChild>
                <w:div w:id="1547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844348">
      <w:bodyDiv w:val="1"/>
      <w:marLeft w:val="0"/>
      <w:marRight w:val="0"/>
      <w:marTop w:val="0"/>
      <w:marBottom w:val="0"/>
      <w:divBdr>
        <w:top w:val="none" w:sz="0" w:space="0" w:color="auto"/>
        <w:left w:val="none" w:sz="0" w:space="0" w:color="auto"/>
        <w:bottom w:val="none" w:sz="0" w:space="0" w:color="auto"/>
        <w:right w:val="none" w:sz="0" w:space="0" w:color="auto"/>
      </w:divBdr>
      <w:divsChild>
        <w:div w:id="1014725002">
          <w:marLeft w:val="0"/>
          <w:marRight w:val="0"/>
          <w:marTop w:val="0"/>
          <w:marBottom w:val="0"/>
          <w:divBdr>
            <w:top w:val="none" w:sz="0" w:space="0" w:color="auto"/>
            <w:left w:val="none" w:sz="0" w:space="0" w:color="auto"/>
            <w:bottom w:val="none" w:sz="0" w:space="0" w:color="auto"/>
            <w:right w:val="none" w:sz="0" w:space="0" w:color="auto"/>
          </w:divBdr>
          <w:divsChild>
            <w:div w:id="100731376">
              <w:marLeft w:val="0"/>
              <w:marRight w:val="0"/>
              <w:marTop w:val="0"/>
              <w:marBottom w:val="0"/>
              <w:divBdr>
                <w:top w:val="none" w:sz="0" w:space="0" w:color="auto"/>
                <w:left w:val="none" w:sz="0" w:space="0" w:color="auto"/>
                <w:bottom w:val="none" w:sz="0" w:space="0" w:color="auto"/>
                <w:right w:val="none" w:sz="0" w:space="0" w:color="auto"/>
              </w:divBdr>
              <w:divsChild>
                <w:div w:id="1376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33278">
      <w:bodyDiv w:val="1"/>
      <w:marLeft w:val="0"/>
      <w:marRight w:val="0"/>
      <w:marTop w:val="0"/>
      <w:marBottom w:val="0"/>
      <w:divBdr>
        <w:top w:val="none" w:sz="0" w:space="0" w:color="auto"/>
        <w:left w:val="none" w:sz="0" w:space="0" w:color="auto"/>
        <w:bottom w:val="none" w:sz="0" w:space="0" w:color="auto"/>
        <w:right w:val="none" w:sz="0" w:space="0" w:color="auto"/>
      </w:divBdr>
      <w:divsChild>
        <w:div w:id="1462454313">
          <w:marLeft w:val="0"/>
          <w:marRight w:val="0"/>
          <w:marTop w:val="0"/>
          <w:marBottom w:val="0"/>
          <w:divBdr>
            <w:top w:val="none" w:sz="0" w:space="0" w:color="auto"/>
            <w:left w:val="none" w:sz="0" w:space="0" w:color="auto"/>
            <w:bottom w:val="none" w:sz="0" w:space="0" w:color="auto"/>
            <w:right w:val="none" w:sz="0" w:space="0" w:color="auto"/>
          </w:divBdr>
          <w:divsChild>
            <w:div w:id="362486444">
              <w:marLeft w:val="0"/>
              <w:marRight w:val="0"/>
              <w:marTop w:val="0"/>
              <w:marBottom w:val="0"/>
              <w:divBdr>
                <w:top w:val="none" w:sz="0" w:space="0" w:color="auto"/>
                <w:left w:val="none" w:sz="0" w:space="0" w:color="auto"/>
                <w:bottom w:val="none" w:sz="0" w:space="0" w:color="auto"/>
                <w:right w:val="none" w:sz="0" w:space="0" w:color="auto"/>
              </w:divBdr>
              <w:divsChild>
                <w:div w:id="76901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48306">
      <w:bodyDiv w:val="1"/>
      <w:marLeft w:val="0"/>
      <w:marRight w:val="0"/>
      <w:marTop w:val="0"/>
      <w:marBottom w:val="0"/>
      <w:divBdr>
        <w:top w:val="none" w:sz="0" w:space="0" w:color="auto"/>
        <w:left w:val="none" w:sz="0" w:space="0" w:color="auto"/>
        <w:bottom w:val="none" w:sz="0" w:space="0" w:color="auto"/>
        <w:right w:val="none" w:sz="0" w:space="0" w:color="auto"/>
      </w:divBdr>
      <w:divsChild>
        <w:div w:id="503328087">
          <w:marLeft w:val="0"/>
          <w:marRight w:val="0"/>
          <w:marTop w:val="0"/>
          <w:marBottom w:val="0"/>
          <w:divBdr>
            <w:top w:val="none" w:sz="0" w:space="0" w:color="auto"/>
            <w:left w:val="none" w:sz="0" w:space="0" w:color="auto"/>
            <w:bottom w:val="none" w:sz="0" w:space="0" w:color="auto"/>
            <w:right w:val="none" w:sz="0" w:space="0" w:color="auto"/>
          </w:divBdr>
          <w:divsChild>
            <w:div w:id="1271670704">
              <w:marLeft w:val="0"/>
              <w:marRight w:val="0"/>
              <w:marTop w:val="0"/>
              <w:marBottom w:val="0"/>
              <w:divBdr>
                <w:top w:val="none" w:sz="0" w:space="0" w:color="auto"/>
                <w:left w:val="none" w:sz="0" w:space="0" w:color="auto"/>
                <w:bottom w:val="none" w:sz="0" w:space="0" w:color="auto"/>
                <w:right w:val="none" w:sz="0" w:space="0" w:color="auto"/>
              </w:divBdr>
              <w:divsChild>
                <w:div w:id="200469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59A54CA-CE3B-4F7B-BD99-0F446C1A8975}"/>
</file>

<file path=customXml/itemProps2.xml><?xml version="1.0" encoding="utf-8"?>
<ds:datastoreItem xmlns:ds="http://schemas.openxmlformats.org/officeDocument/2006/customXml" ds:itemID="{79EAC76F-7726-4791-8D6C-5952DAF07313}"/>
</file>

<file path=customXml/itemProps3.xml><?xml version="1.0" encoding="utf-8"?>
<ds:datastoreItem xmlns:ds="http://schemas.openxmlformats.org/officeDocument/2006/customXml" ds:itemID="{0CA43C92-224F-4EDE-8E19-03BE21C52517}"/>
</file>

<file path=docProps/app.xml><?xml version="1.0" encoding="utf-8"?>
<Properties xmlns="http://schemas.openxmlformats.org/officeDocument/2006/extended-properties" xmlns:vt="http://schemas.openxmlformats.org/officeDocument/2006/docPropsVTypes">
  <Template>Normal.dotm</Template>
  <TotalTime>46</TotalTime>
  <Pages>4</Pages>
  <Words>1110</Words>
  <Characters>6329</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9</cp:revision>
  <dcterms:created xsi:type="dcterms:W3CDTF">2019-03-29T16:01:00Z</dcterms:created>
  <dcterms:modified xsi:type="dcterms:W3CDTF">2019-08-15T17:44:00Z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