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32805" w14:textId="79D250D7" w:rsidR="00BD653D" w:rsidRPr="00BD653D" w:rsidRDefault="00E167BE" w:rsidP="00FA1792">
      <w:pPr>
        <w:pStyle w:val="Title"/>
        <w:rPr>
          <w:i/>
          <w:iCs/>
        </w:rPr>
      </w:pPr>
      <w:r w:rsidRPr="004F2656">
        <w:t xml:space="preserve">Affordable Learning Georgia </w:t>
      </w:r>
      <w:r w:rsidR="00C65741">
        <w:t>Affordable Materials Grants</w:t>
      </w:r>
      <w:r w:rsidR="00C65741">
        <w:br/>
      </w:r>
      <w:r w:rsidR="00FA1792">
        <w:t>Research</w:t>
      </w:r>
      <w:r w:rsidRPr="004F2656">
        <w:t xml:space="preserve"> Grants </w:t>
      </w:r>
      <w:r w:rsidR="00BD653D">
        <w:t>Final Report</w:t>
      </w:r>
    </w:p>
    <w:p w14:paraId="43869C97" w14:textId="3517B0FD" w:rsidR="00FA1792" w:rsidRDefault="00FA1792" w:rsidP="00FA1792">
      <w:pPr>
        <w:pStyle w:val="Heading2"/>
      </w:pPr>
      <w:r>
        <w:t>Description</w:t>
      </w:r>
    </w:p>
    <w:p w14:paraId="244421D8" w14:textId="77777777" w:rsidR="00FA1792" w:rsidRPr="005918D8" w:rsidRDefault="00FA1792" w:rsidP="00FA1792">
      <w:r w:rsidRPr="005918D8">
        <w:t xml:space="preserve">Research Projects will end with a Research Report due at the end of the Final Semester of the project. This will be a manuscript that is well-developed, concise, and suitable for publication. Research reports will be shared in an ALG repository under a </w:t>
      </w:r>
      <w:hyperlink r:id="rId8" w:history="1">
        <w:r w:rsidRPr="005918D8">
          <w:rPr>
            <w:rStyle w:val="Hyperlink"/>
          </w:rPr>
          <w:t>Creative Commons Attribution License 4.0.</w:t>
        </w:r>
      </w:hyperlink>
      <w:r w:rsidRPr="005918D8">
        <w:t xml:space="preserve"> Supplementary files, such as data sets, will not be shared in the repository. </w:t>
      </w:r>
    </w:p>
    <w:p w14:paraId="64D310F8" w14:textId="77777777" w:rsidR="00FA1792" w:rsidRPr="005918D8" w:rsidRDefault="00FA1792" w:rsidP="00FA1792">
      <w:r w:rsidRPr="005918D8">
        <w:t>While there is no specific page limit, award recipients are strongly encouraged to produce succinct Research Reports; these should be written with a broad public audience in mind, including faculty and professional staff of all disciplines. A template will be provided, but an outline is provided here for planning purposes.</w:t>
      </w:r>
    </w:p>
    <w:p w14:paraId="6C70CA2F" w14:textId="620DB932" w:rsidR="00FA1792" w:rsidRDefault="00FA1792" w:rsidP="00FA1792">
      <w:pPr>
        <w:pStyle w:val="Heading2"/>
      </w:pPr>
      <w:r>
        <w:t>Note: Online Submission Form</w:t>
      </w:r>
    </w:p>
    <w:p w14:paraId="1D496630" w14:textId="690E80D1" w:rsidR="0033401E" w:rsidRPr="00FA1792" w:rsidRDefault="00647915" w:rsidP="0073273B">
      <w:pPr>
        <w:rPr>
          <w:iCs/>
        </w:rPr>
      </w:pPr>
      <w:r w:rsidRPr="00FA1792">
        <w:rPr>
          <w:iCs/>
        </w:rPr>
        <w:t>Once you have completed this template, to</w:t>
      </w:r>
      <w:r w:rsidR="0033401E" w:rsidRPr="00FA1792">
        <w:rPr>
          <w:iCs/>
        </w:rPr>
        <w:t xml:space="preserve"> submit your Final Report, go to the </w:t>
      </w:r>
      <w:hyperlink r:id="rId9" w:history="1">
        <w:r w:rsidR="0033401E" w:rsidRPr="00FA1792">
          <w:rPr>
            <w:rStyle w:val="Hyperlink"/>
            <w:iCs/>
          </w:rPr>
          <w:t xml:space="preserve">Final Report submission </w:t>
        </w:r>
      </w:hyperlink>
      <w:r w:rsidRPr="00FA1792">
        <w:rPr>
          <w:rStyle w:val="Hyperlink"/>
          <w:iCs/>
        </w:rPr>
        <w:t>form.</w:t>
      </w:r>
      <w:r w:rsidR="0033401E" w:rsidRPr="00FA1792">
        <w:rPr>
          <w:iCs/>
        </w:rPr>
        <w:t xml:space="preserve"> </w:t>
      </w:r>
    </w:p>
    <w:p w14:paraId="0CE62F26" w14:textId="4773B66F" w:rsidR="00687254" w:rsidRPr="00FA1792" w:rsidRDefault="00687254" w:rsidP="0073273B">
      <w:pPr>
        <w:rPr>
          <w:iCs/>
        </w:rPr>
      </w:pPr>
      <w:r w:rsidRPr="00FA1792">
        <w:rPr>
          <w:iCs/>
        </w:rPr>
        <w:t>Follow the instructions on the webpage</w:t>
      </w:r>
      <w:r w:rsidR="0033401E" w:rsidRPr="00FA1792">
        <w:rPr>
          <w:iCs/>
        </w:rPr>
        <w:t xml:space="preserve"> for uploading your documents. B</w:t>
      </w:r>
      <w:r w:rsidRPr="00FA1792">
        <w:rPr>
          <w:iCs/>
        </w:rPr>
        <w:t>ased on receipt of this report</w:t>
      </w:r>
      <w:r w:rsidR="00BF3C8A" w:rsidRPr="00FA1792">
        <w:rPr>
          <w:iCs/>
        </w:rPr>
        <w:t>,</w:t>
      </w:r>
      <w:r w:rsidRPr="00FA1792">
        <w:rPr>
          <w:iCs/>
        </w:rPr>
        <w:t xml:space="preserve"> ALG </w:t>
      </w:r>
      <w:r w:rsidR="00DF79E1" w:rsidRPr="00FA1792">
        <w:rPr>
          <w:iCs/>
        </w:rPr>
        <w:t>will process</w:t>
      </w:r>
      <w:r w:rsidRPr="00FA1792">
        <w:rPr>
          <w:iCs/>
        </w:rPr>
        <w:t xml:space="preserve"> the final payment for your grant.  ALG </w:t>
      </w:r>
      <w:r w:rsidR="0033401E" w:rsidRPr="00FA1792">
        <w:rPr>
          <w:iCs/>
        </w:rPr>
        <w:t xml:space="preserve">will </w:t>
      </w:r>
      <w:r w:rsidRPr="00FA1792">
        <w:rPr>
          <w:iCs/>
        </w:rPr>
        <w:t>follow up</w:t>
      </w:r>
      <w:r w:rsidR="00630263" w:rsidRPr="00FA1792">
        <w:rPr>
          <w:iCs/>
        </w:rPr>
        <w:t xml:space="preserve"> in the future with p</w:t>
      </w:r>
      <w:r w:rsidR="0033401E" w:rsidRPr="00FA1792">
        <w:rPr>
          <w:iCs/>
        </w:rPr>
        <w:t>ost-project grantee survey</w:t>
      </w:r>
      <w:r w:rsidR="00630263" w:rsidRPr="00FA1792">
        <w:rPr>
          <w:iCs/>
        </w:rPr>
        <w:t>s</w:t>
      </w:r>
      <w:r w:rsidR="0033401E" w:rsidRPr="00FA1792">
        <w:rPr>
          <w:iCs/>
        </w:rPr>
        <w:t xml:space="preserve"> and may also </w:t>
      </w:r>
      <w:r w:rsidRPr="00FA1792">
        <w:rPr>
          <w:iCs/>
        </w:rPr>
        <w:t xml:space="preserve">request your participation </w:t>
      </w:r>
      <w:r w:rsidR="00DF79E1" w:rsidRPr="00FA1792">
        <w:rPr>
          <w:iCs/>
        </w:rPr>
        <w:t>in a publication, presentation,</w:t>
      </w:r>
      <w:r w:rsidRPr="00FA1792">
        <w:rPr>
          <w:iCs/>
        </w:rPr>
        <w:t xml:space="preserve"> or other event. </w:t>
      </w:r>
    </w:p>
    <w:p w14:paraId="6BF02510" w14:textId="52CA1B6A" w:rsidR="0033401E" w:rsidRDefault="0033401E" w:rsidP="0033401E">
      <w:pPr>
        <w:pStyle w:val="Heading1"/>
      </w:pPr>
      <w:r>
        <w:t>General Information</w:t>
      </w:r>
    </w:p>
    <w:p w14:paraId="6A5B7154" w14:textId="348CDE07" w:rsidR="00687254" w:rsidRDefault="00687254" w:rsidP="00687254">
      <w:pPr>
        <w:ind w:left="360"/>
        <w:rPr>
          <w:b/>
          <w:sz w:val="24"/>
          <w:szCs w:val="24"/>
        </w:rPr>
      </w:pPr>
      <w:r w:rsidRPr="004F2656">
        <w:rPr>
          <w:b/>
          <w:sz w:val="24"/>
          <w:szCs w:val="24"/>
        </w:rPr>
        <w:t>Date</w:t>
      </w:r>
      <w:r w:rsidR="003E1BCB" w:rsidRPr="004F2656">
        <w:rPr>
          <w:b/>
          <w:sz w:val="24"/>
          <w:szCs w:val="24"/>
        </w:rPr>
        <w:t>:</w:t>
      </w:r>
      <w:r w:rsidR="00FE2527">
        <w:rPr>
          <w:b/>
          <w:sz w:val="24"/>
          <w:szCs w:val="24"/>
        </w:rPr>
        <w:t xml:space="preserve"> 12/17/2025</w:t>
      </w:r>
    </w:p>
    <w:p w14:paraId="41045492" w14:textId="7B03750C" w:rsidR="00240544" w:rsidRPr="004F2656" w:rsidRDefault="00FA1792" w:rsidP="00687254">
      <w:pPr>
        <w:ind w:left="360"/>
        <w:rPr>
          <w:b/>
          <w:sz w:val="24"/>
          <w:szCs w:val="24"/>
        </w:rPr>
      </w:pPr>
      <w:r>
        <w:rPr>
          <w:b/>
          <w:sz w:val="24"/>
          <w:szCs w:val="24"/>
        </w:rPr>
        <w:t xml:space="preserve">RG </w:t>
      </w:r>
      <w:r w:rsidR="003E1BCB" w:rsidRPr="004F2656">
        <w:rPr>
          <w:b/>
          <w:sz w:val="24"/>
          <w:szCs w:val="24"/>
        </w:rPr>
        <w:t>Grant</w:t>
      </w:r>
      <w:r w:rsidR="00687254" w:rsidRPr="004F2656">
        <w:rPr>
          <w:b/>
          <w:sz w:val="24"/>
          <w:szCs w:val="24"/>
        </w:rPr>
        <w:t xml:space="preserve"> Number</w:t>
      </w:r>
      <w:r w:rsidR="003E1BCB" w:rsidRPr="004F2656">
        <w:rPr>
          <w:b/>
          <w:sz w:val="24"/>
          <w:szCs w:val="24"/>
        </w:rPr>
        <w:t>:</w:t>
      </w:r>
      <w:r w:rsidR="00FE2527">
        <w:rPr>
          <w:b/>
          <w:sz w:val="24"/>
          <w:szCs w:val="24"/>
        </w:rPr>
        <w:t xml:space="preserve"> </w:t>
      </w:r>
      <w:r w:rsidR="00FE2527" w:rsidRPr="00FE2527">
        <w:rPr>
          <w:b/>
          <w:sz w:val="24"/>
          <w:szCs w:val="24"/>
        </w:rPr>
        <w:t>RG013</w:t>
      </w:r>
    </w:p>
    <w:p w14:paraId="65C4B013" w14:textId="1AF65E89" w:rsidR="00687254" w:rsidRDefault="00687254" w:rsidP="00687254">
      <w:pPr>
        <w:ind w:left="360"/>
        <w:rPr>
          <w:b/>
          <w:sz w:val="24"/>
          <w:szCs w:val="24"/>
        </w:rPr>
      </w:pPr>
      <w:r w:rsidRPr="004F2656">
        <w:rPr>
          <w:b/>
          <w:sz w:val="24"/>
          <w:szCs w:val="24"/>
        </w:rPr>
        <w:t>Institution Name(s</w:t>
      </w:r>
      <w:r w:rsidR="003E1BCB" w:rsidRPr="004F2656">
        <w:rPr>
          <w:b/>
          <w:sz w:val="24"/>
          <w:szCs w:val="24"/>
        </w:rPr>
        <w:t>):</w:t>
      </w:r>
      <w:r w:rsidR="00FE2527">
        <w:rPr>
          <w:b/>
          <w:sz w:val="24"/>
          <w:szCs w:val="24"/>
        </w:rPr>
        <w:t xml:space="preserve"> </w:t>
      </w:r>
      <w:r w:rsidR="00FE2527" w:rsidRPr="00FE2527">
        <w:rPr>
          <w:b/>
          <w:sz w:val="24"/>
          <w:szCs w:val="24"/>
        </w:rPr>
        <w:t>Valdosta State University</w:t>
      </w:r>
    </w:p>
    <w:p w14:paraId="28FD8E6E" w14:textId="2DCEA5C6" w:rsidR="0033401E" w:rsidRPr="004F2656" w:rsidRDefault="0033401E" w:rsidP="0033401E">
      <w:pPr>
        <w:ind w:left="360"/>
        <w:rPr>
          <w:b/>
          <w:sz w:val="24"/>
          <w:szCs w:val="24"/>
        </w:rPr>
      </w:pPr>
      <w:r w:rsidRPr="004F2656">
        <w:rPr>
          <w:b/>
          <w:sz w:val="24"/>
          <w:szCs w:val="24"/>
        </w:rPr>
        <w:t>Project Lead:</w:t>
      </w:r>
      <w:r w:rsidR="00FE2527">
        <w:rPr>
          <w:b/>
          <w:sz w:val="24"/>
          <w:szCs w:val="24"/>
        </w:rPr>
        <w:t xml:space="preserve"> Jia Lu</w:t>
      </w:r>
    </w:p>
    <w:p w14:paraId="7CA0E910" w14:textId="77777777" w:rsidR="00FB4B24" w:rsidRDefault="00687254" w:rsidP="00687254">
      <w:pPr>
        <w:ind w:left="360"/>
        <w:rPr>
          <w:b/>
          <w:sz w:val="24"/>
          <w:szCs w:val="24"/>
        </w:rPr>
      </w:pPr>
      <w:r w:rsidRPr="004F2656">
        <w:rPr>
          <w:b/>
          <w:sz w:val="24"/>
          <w:szCs w:val="24"/>
        </w:rPr>
        <w:t>Team Members (Name, Title, Department, Institutions if different, and email address for each)</w:t>
      </w:r>
      <w:r w:rsidR="003E1BCB" w:rsidRPr="004F2656">
        <w:rPr>
          <w:b/>
          <w:sz w:val="24"/>
          <w:szCs w:val="24"/>
        </w:rPr>
        <w:t>:</w:t>
      </w:r>
      <w:r w:rsidR="00FE2527">
        <w:rPr>
          <w:b/>
          <w:sz w:val="24"/>
          <w:szCs w:val="24"/>
        </w:rPr>
        <w:t xml:space="preserve"> </w:t>
      </w:r>
    </w:p>
    <w:p w14:paraId="6A7C5B5B" w14:textId="6D94B2EC" w:rsidR="00687254" w:rsidRPr="004F2656" w:rsidRDefault="00FB4B24" w:rsidP="00687254">
      <w:pPr>
        <w:ind w:left="360"/>
        <w:rPr>
          <w:b/>
          <w:sz w:val="24"/>
          <w:szCs w:val="24"/>
        </w:rPr>
      </w:pPr>
      <w:r>
        <w:rPr>
          <w:b/>
          <w:sz w:val="24"/>
          <w:szCs w:val="24"/>
        </w:rPr>
        <w:t>Jia Lu, Professor, Chemistry and Geosciences, Valdosta State University, jlu@valdosta.edu</w:t>
      </w:r>
    </w:p>
    <w:p w14:paraId="121C9534" w14:textId="77777777" w:rsidR="00FB4B24" w:rsidRDefault="00DF79E1" w:rsidP="00E167BE">
      <w:pPr>
        <w:ind w:left="360"/>
        <w:rPr>
          <w:b/>
          <w:sz w:val="24"/>
          <w:szCs w:val="24"/>
        </w:rPr>
      </w:pPr>
      <w:r w:rsidRPr="004F2656">
        <w:rPr>
          <w:b/>
          <w:sz w:val="24"/>
          <w:szCs w:val="24"/>
        </w:rPr>
        <w:t>Course Name(s) and Course Numbers</w:t>
      </w:r>
      <w:r w:rsidR="00FA1792">
        <w:rPr>
          <w:b/>
          <w:sz w:val="24"/>
          <w:szCs w:val="24"/>
        </w:rPr>
        <w:t xml:space="preserve"> if applicable</w:t>
      </w:r>
      <w:r w:rsidR="003E1BCB" w:rsidRPr="004F2656">
        <w:rPr>
          <w:b/>
          <w:sz w:val="24"/>
          <w:szCs w:val="24"/>
        </w:rPr>
        <w:t>:</w:t>
      </w:r>
      <w:r w:rsidR="00FE2527">
        <w:rPr>
          <w:b/>
          <w:sz w:val="24"/>
          <w:szCs w:val="24"/>
        </w:rPr>
        <w:t xml:space="preserve"> </w:t>
      </w:r>
    </w:p>
    <w:p w14:paraId="46A62745" w14:textId="5946F472" w:rsidR="00DF79E1" w:rsidRPr="004F2656" w:rsidRDefault="00FE2527" w:rsidP="00E167BE">
      <w:pPr>
        <w:ind w:left="360"/>
        <w:rPr>
          <w:b/>
          <w:sz w:val="24"/>
          <w:szCs w:val="24"/>
        </w:rPr>
      </w:pPr>
      <w:r>
        <w:rPr>
          <w:b/>
          <w:sz w:val="24"/>
          <w:szCs w:val="24"/>
        </w:rPr>
        <w:t>Resource, Society and Environment, Geog 1125</w:t>
      </w:r>
    </w:p>
    <w:p w14:paraId="3E617D79" w14:textId="23A8B1D1" w:rsidR="00DF79E1" w:rsidRPr="004F2656" w:rsidRDefault="00DF79E1" w:rsidP="00E167BE">
      <w:pPr>
        <w:ind w:left="360"/>
        <w:rPr>
          <w:b/>
          <w:sz w:val="24"/>
          <w:szCs w:val="24"/>
        </w:rPr>
      </w:pPr>
      <w:r w:rsidRPr="004F2656">
        <w:rPr>
          <w:b/>
          <w:sz w:val="24"/>
          <w:szCs w:val="24"/>
        </w:rPr>
        <w:t>Semester Project Began</w:t>
      </w:r>
      <w:r w:rsidR="003E1BCB" w:rsidRPr="004F2656">
        <w:rPr>
          <w:b/>
          <w:sz w:val="24"/>
          <w:szCs w:val="24"/>
        </w:rPr>
        <w:t>:</w:t>
      </w:r>
      <w:r w:rsidR="00FE2527">
        <w:rPr>
          <w:b/>
          <w:sz w:val="24"/>
          <w:szCs w:val="24"/>
        </w:rPr>
        <w:t xml:space="preserve"> Summer, 2024</w:t>
      </w:r>
    </w:p>
    <w:p w14:paraId="4D2A60B3" w14:textId="5FA8DA5D" w:rsidR="00687254" w:rsidRPr="004F2656" w:rsidRDefault="0033401E" w:rsidP="00E167BE">
      <w:pPr>
        <w:ind w:left="360"/>
        <w:rPr>
          <w:b/>
          <w:sz w:val="24"/>
          <w:szCs w:val="24"/>
        </w:rPr>
      </w:pPr>
      <w:r>
        <w:rPr>
          <w:b/>
          <w:sz w:val="24"/>
          <w:szCs w:val="24"/>
        </w:rPr>
        <w:t xml:space="preserve">Final </w:t>
      </w:r>
      <w:r w:rsidR="00687254" w:rsidRPr="004F2656">
        <w:rPr>
          <w:b/>
          <w:sz w:val="24"/>
          <w:szCs w:val="24"/>
        </w:rPr>
        <w:t>Semester</w:t>
      </w:r>
      <w:r w:rsidR="003E1BCB" w:rsidRPr="004F2656">
        <w:rPr>
          <w:b/>
          <w:sz w:val="24"/>
          <w:szCs w:val="24"/>
        </w:rPr>
        <w:t>:</w:t>
      </w:r>
      <w:r w:rsidR="00FE2527">
        <w:rPr>
          <w:b/>
          <w:sz w:val="24"/>
          <w:szCs w:val="24"/>
        </w:rPr>
        <w:t xml:space="preserve"> Fall, 2025</w:t>
      </w:r>
    </w:p>
    <w:p w14:paraId="6674B072" w14:textId="080649D1" w:rsidR="00DF79E1" w:rsidRPr="004F2656" w:rsidRDefault="00DF79E1" w:rsidP="003F4D85">
      <w:pPr>
        <w:pStyle w:val="Heading1"/>
        <w:numPr>
          <w:ilvl w:val="0"/>
          <w:numId w:val="18"/>
        </w:numPr>
        <w:ind w:left="360"/>
      </w:pPr>
      <w:r w:rsidRPr="004F2656">
        <w:t>Narrative</w:t>
      </w:r>
    </w:p>
    <w:p w14:paraId="65E3CD32" w14:textId="0745DBD9" w:rsidR="00DF79E1" w:rsidRPr="00FA1792" w:rsidRDefault="00FA1792" w:rsidP="00FA1792">
      <w:pPr>
        <w:rPr>
          <w:i/>
          <w:iCs/>
          <w:sz w:val="24"/>
          <w:szCs w:val="24"/>
        </w:rPr>
      </w:pPr>
      <w:r w:rsidRPr="00FA1792">
        <w:rPr>
          <w:i/>
          <w:iCs/>
          <w:sz w:val="24"/>
          <w:szCs w:val="24"/>
        </w:rPr>
        <w:t>Give a</w:t>
      </w:r>
      <w:r>
        <w:rPr>
          <w:i/>
          <w:iCs/>
          <w:sz w:val="24"/>
          <w:szCs w:val="24"/>
        </w:rPr>
        <w:t xml:space="preserve"> </w:t>
      </w:r>
      <w:r w:rsidRPr="00FA1792">
        <w:rPr>
          <w:i/>
          <w:iCs/>
          <w:sz w:val="24"/>
          <w:szCs w:val="24"/>
        </w:rPr>
        <w:t>narrative summary of your project</w:t>
      </w:r>
      <w:r>
        <w:rPr>
          <w:i/>
          <w:iCs/>
          <w:sz w:val="24"/>
          <w:szCs w:val="24"/>
        </w:rPr>
        <w:t>. Include:</w:t>
      </w:r>
    </w:p>
    <w:p w14:paraId="37A6611B" w14:textId="2A87960D" w:rsidR="00DF79E1" w:rsidRDefault="00FA1792" w:rsidP="00DF79E1">
      <w:pPr>
        <w:pStyle w:val="ListParagraph"/>
        <w:numPr>
          <w:ilvl w:val="0"/>
          <w:numId w:val="8"/>
        </w:numPr>
        <w:rPr>
          <w:i/>
          <w:iCs/>
          <w:sz w:val="24"/>
          <w:szCs w:val="24"/>
        </w:rPr>
      </w:pPr>
      <w:r>
        <w:rPr>
          <w:i/>
          <w:iCs/>
          <w:sz w:val="24"/>
          <w:szCs w:val="24"/>
        </w:rPr>
        <w:t>Major goals and objectives, research questions addressed</w:t>
      </w:r>
    </w:p>
    <w:p w14:paraId="6470D656" w14:textId="77777777" w:rsidR="00FA1792" w:rsidRPr="00FA1792" w:rsidRDefault="00FA1792" w:rsidP="00FA1792">
      <w:pPr>
        <w:pStyle w:val="ListParagraph"/>
        <w:numPr>
          <w:ilvl w:val="0"/>
          <w:numId w:val="8"/>
        </w:numPr>
        <w:rPr>
          <w:i/>
          <w:iCs/>
          <w:sz w:val="24"/>
          <w:szCs w:val="24"/>
        </w:rPr>
      </w:pPr>
      <w:r w:rsidRPr="00FA1792">
        <w:rPr>
          <w:i/>
          <w:iCs/>
          <w:sz w:val="24"/>
          <w:szCs w:val="24"/>
        </w:rPr>
        <w:lastRenderedPageBreak/>
        <w:t>Research design, methods, analytical and data analysis techniques</w:t>
      </w:r>
    </w:p>
    <w:p w14:paraId="2ED1CC9D" w14:textId="032BA187" w:rsidR="00331337" w:rsidRDefault="00FA1792" w:rsidP="00331337">
      <w:pPr>
        <w:pStyle w:val="ListParagraph"/>
        <w:numPr>
          <w:ilvl w:val="0"/>
          <w:numId w:val="8"/>
        </w:numPr>
        <w:rPr>
          <w:i/>
          <w:iCs/>
          <w:sz w:val="24"/>
          <w:szCs w:val="24"/>
        </w:rPr>
      </w:pPr>
      <w:r w:rsidRPr="00FA1792">
        <w:rPr>
          <w:i/>
          <w:iCs/>
          <w:sz w:val="24"/>
          <w:szCs w:val="24"/>
        </w:rPr>
        <w:t>Findings</w:t>
      </w:r>
      <w:r>
        <w:rPr>
          <w:i/>
          <w:iCs/>
          <w:sz w:val="24"/>
          <w:szCs w:val="24"/>
        </w:rPr>
        <w:t xml:space="preserve"> and implications</w:t>
      </w:r>
    </w:p>
    <w:p w14:paraId="47548931" w14:textId="77777777" w:rsidR="00CD66B4" w:rsidRDefault="00CD66B4" w:rsidP="00F70FB8">
      <w:pPr>
        <w:rPr>
          <w:sz w:val="24"/>
          <w:szCs w:val="24"/>
        </w:rPr>
      </w:pPr>
    </w:p>
    <w:p w14:paraId="13DD0387" w14:textId="5ABE0862" w:rsidR="00F70FB8" w:rsidRPr="00F70FB8" w:rsidRDefault="00F70FB8" w:rsidP="00F70FB8">
      <w:pPr>
        <w:rPr>
          <w:sz w:val="24"/>
          <w:szCs w:val="24"/>
        </w:rPr>
      </w:pPr>
      <w:r w:rsidRPr="00F70FB8">
        <w:rPr>
          <w:sz w:val="24"/>
          <w:szCs w:val="24"/>
        </w:rPr>
        <w:t>This project examined racial and ethnic disparities in students’ perceptions of Open Educational Resources (OER) within a science core course at Valdosta State University (GEOG 1125: Resources, Society &amp; Environment). Building on evidence that racial and ethnic gaps persist in educational experiences and access to learning resources, the study sought to determine whether such disparities extend to OER perceptions. Because VSU enrolls a racially and ethnically diverse student body, the project offered a unique opportunity to investigate equity issues associated with OER adoption in science education.</w:t>
      </w:r>
    </w:p>
    <w:p w14:paraId="0EB7B4BD" w14:textId="20DD017A" w:rsidR="008A641A" w:rsidRDefault="00F70FB8" w:rsidP="00F70FB8">
      <w:pPr>
        <w:rPr>
          <w:sz w:val="24"/>
          <w:szCs w:val="24"/>
        </w:rPr>
      </w:pPr>
      <w:r w:rsidRPr="00F70FB8">
        <w:rPr>
          <w:sz w:val="24"/>
          <w:szCs w:val="24"/>
        </w:rPr>
        <w:t>The overarching goal was to evaluate whether student perceptions of OER differ across racial and ethnic groups, identify factors that contribute to these differences, and propose best practices to improve perceptions and reduce inequities.</w:t>
      </w:r>
    </w:p>
    <w:p w14:paraId="1E6BBBF9" w14:textId="4CC1AE65" w:rsidR="00F70FB8" w:rsidRPr="00F70FB8" w:rsidRDefault="00F70FB8" w:rsidP="00F70FB8">
      <w:pPr>
        <w:rPr>
          <w:sz w:val="24"/>
          <w:szCs w:val="24"/>
        </w:rPr>
      </w:pPr>
      <w:r w:rsidRPr="00F70FB8">
        <w:rPr>
          <w:sz w:val="24"/>
          <w:szCs w:val="24"/>
        </w:rPr>
        <w:t>The project pursued three primary objectives:</w:t>
      </w:r>
    </w:p>
    <w:p w14:paraId="2616EEE3" w14:textId="0C70FDFC" w:rsidR="00F70FB8" w:rsidRPr="00F70FB8" w:rsidRDefault="00F70FB8" w:rsidP="00F70FB8">
      <w:pPr>
        <w:pStyle w:val="ListParagraph"/>
        <w:numPr>
          <w:ilvl w:val="0"/>
          <w:numId w:val="20"/>
        </w:numPr>
        <w:rPr>
          <w:sz w:val="24"/>
          <w:szCs w:val="24"/>
        </w:rPr>
      </w:pPr>
      <w:r w:rsidRPr="00F70FB8">
        <w:rPr>
          <w:sz w:val="24"/>
          <w:szCs w:val="24"/>
        </w:rPr>
        <w:t xml:space="preserve">Identify racial and ethnic differences in students’ perceptions of OER in a </w:t>
      </w:r>
      <w:r w:rsidR="00004C9D">
        <w:rPr>
          <w:sz w:val="24"/>
          <w:szCs w:val="24"/>
        </w:rPr>
        <w:t>c</w:t>
      </w:r>
      <w:r w:rsidR="00FF5164">
        <w:rPr>
          <w:sz w:val="24"/>
          <w:szCs w:val="24"/>
        </w:rPr>
        <w:t>ore</w:t>
      </w:r>
      <w:r w:rsidRPr="00F70FB8">
        <w:rPr>
          <w:sz w:val="24"/>
          <w:szCs w:val="24"/>
        </w:rPr>
        <w:t xml:space="preserve"> science course.</w:t>
      </w:r>
    </w:p>
    <w:p w14:paraId="58D7537A" w14:textId="77777777" w:rsidR="00F70FB8" w:rsidRPr="00F70FB8" w:rsidRDefault="00F70FB8" w:rsidP="00F70FB8">
      <w:pPr>
        <w:pStyle w:val="ListParagraph"/>
        <w:numPr>
          <w:ilvl w:val="0"/>
          <w:numId w:val="20"/>
        </w:numPr>
        <w:rPr>
          <w:sz w:val="24"/>
          <w:szCs w:val="24"/>
        </w:rPr>
      </w:pPr>
      <w:r w:rsidRPr="00F70FB8">
        <w:rPr>
          <w:sz w:val="24"/>
          <w:szCs w:val="24"/>
        </w:rPr>
        <w:t>Determine key factors influencing these differences, including motivation, effort expectancy, social influence, facilitating conditions, and course</w:t>
      </w:r>
      <w:r w:rsidRPr="00F70FB8">
        <w:rPr>
          <w:rFonts w:ascii="Cambria Math" w:hAnsi="Cambria Math" w:cs="Cambria Math"/>
          <w:sz w:val="24"/>
          <w:szCs w:val="24"/>
        </w:rPr>
        <w:t>‑</w:t>
      </w:r>
      <w:r w:rsidRPr="00F70FB8">
        <w:rPr>
          <w:sz w:val="24"/>
          <w:szCs w:val="24"/>
        </w:rPr>
        <w:t>specific experiences.</w:t>
      </w:r>
    </w:p>
    <w:p w14:paraId="74D06585" w14:textId="57AA676E" w:rsidR="00F70FB8" w:rsidRPr="00F70FB8" w:rsidRDefault="00F70FB8" w:rsidP="00F70FB8">
      <w:pPr>
        <w:pStyle w:val="ListParagraph"/>
        <w:numPr>
          <w:ilvl w:val="0"/>
          <w:numId w:val="20"/>
        </w:numPr>
        <w:rPr>
          <w:sz w:val="24"/>
          <w:szCs w:val="24"/>
        </w:rPr>
      </w:pPr>
      <w:r w:rsidRPr="00F70FB8">
        <w:rPr>
          <w:sz w:val="24"/>
          <w:szCs w:val="24"/>
        </w:rPr>
        <w:t>Develop evidence</w:t>
      </w:r>
      <w:r w:rsidRPr="00F70FB8">
        <w:rPr>
          <w:rFonts w:ascii="Cambria Math" w:hAnsi="Cambria Math" w:cs="Cambria Math"/>
          <w:sz w:val="24"/>
          <w:szCs w:val="24"/>
        </w:rPr>
        <w:t>‑</w:t>
      </w:r>
      <w:r w:rsidRPr="00F70FB8">
        <w:rPr>
          <w:sz w:val="24"/>
          <w:szCs w:val="24"/>
        </w:rPr>
        <w:t>based recommendations to reduce perception gaps and strengthen the impact of OER on diverse student populations.</w:t>
      </w:r>
    </w:p>
    <w:p w14:paraId="0B7A7141" w14:textId="79E0E289" w:rsidR="008A641A" w:rsidRPr="008A641A" w:rsidRDefault="008A641A" w:rsidP="008A641A">
      <w:pPr>
        <w:rPr>
          <w:sz w:val="24"/>
          <w:szCs w:val="24"/>
        </w:rPr>
      </w:pPr>
      <w:r w:rsidRPr="008A641A">
        <w:rPr>
          <w:sz w:val="24"/>
          <w:szCs w:val="24"/>
        </w:rPr>
        <w:t>To address these aims, the project focuse</w:t>
      </w:r>
      <w:r w:rsidR="00F70FB8">
        <w:rPr>
          <w:sz w:val="24"/>
          <w:szCs w:val="24"/>
        </w:rPr>
        <w:t>d</w:t>
      </w:r>
      <w:r w:rsidRPr="008A641A">
        <w:rPr>
          <w:sz w:val="24"/>
          <w:szCs w:val="24"/>
        </w:rPr>
        <w:t xml:space="preserve"> on three central research questions:</w:t>
      </w:r>
    </w:p>
    <w:p w14:paraId="735787E7" w14:textId="77777777" w:rsidR="008A641A" w:rsidRPr="00F70FB8" w:rsidRDefault="008A641A" w:rsidP="00F70FB8">
      <w:pPr>
        <w:pStyle w:val="ListParagraph"/>
        <w:numPr>
          <w:ilvl w:val="0"/>
          <w:numId w:val="21"/>
        </w:numPr>
        <w:rPr>
          <w:sz w:val="24"/>
          <w:szCs w:val="24"/>
        </w:rPr>
      </w:pPr>
      <w:r w:rsidRPr="00F70FB8">
        <w:rPr>
          <w:sz w:val="24"/>
          <w:szCs w:val="24"/>
        </w:rPr>
        <w:t>Are there racial and ethnic differences in students’ perceptions of OER in a science core course?</w:t>
      </w:r>
    </w:p>
    <w:p w14:paraId="00059917" w14:textId="77777777" w:rsidR="008A641A" w:rsidRPr="00F70FB8" w:rsidRDefault="008A641A" w:rsidP="00F70FB8">
      <w:pPr>
        <w:pStyle w:val="ListParagraph"/>
        <w:numPr>
          <w:ilvl w:val="0"/>
          <w:numId w:val="21"/>
        </w:numPr>
        <w:rPr>
          <w:sz w:val="24"/>
          <w:szCs w:val="24"/>
        </w:rPr>
      </w:pPr>
      <w:r w:rsidRPr="00F70FB8">
        <w:rPr>
          <w:sz w:val="24"/>
          <w:szCs w:val="24"/>
        </w:rPr>
        <w:t>What factors contribute to racial and ethnic differences in OER perceptions?</w:t>
      </w:r>
    </w:p>
    <w:p w14:paraId="2269947C" w14:textId="0AE0DC4C" w:rsidR="008A641A" w:rsidRPr="00F70FB8" w:rsidRDefault="008A641A" w:rsidP="00F70FB8">
      <w:pPr>
        <w:pStyle w:val="ListParagraph"/>
        <w:numPr>
          <w:ilvl w:val="0"/>
          <w:numId w:val="21"/>
        </w:numPr>
        <w:rPr>
          <w:sz w:val="24"/>
          <w:szCs w:val="24"/>
        </w:rPr>
      </w:pPr>
      <w:r w:rsidRPr="00F70FB8">
        <w:rPr>
          <w:sz w:val="24"/>
          <w:szCs w:val="24"/>
        </w:rPr>
        <w:t>What best practices can reduce disparities and improve overall perceptions of OER?</w:t>
      </w:r>
    </w:p>
    <w:p w14:paraId="47722DA4" w14:textId="653F83FA" w:rsidR="008A641A" w:rsidRPr="008A641A" w:rsidRDefault="00CF5B94" w:rsidP="00BF6527">
      <w:pPr>
        <w:rPr>
          <w:sz w:val="24"/>
          <w:szCs w:val="24"/>
        </w:rPr>
      </w:pPr>
      <w:r w:rsidRPr="00CF5B94">
        <w:rPr>
          <w:sz w:val="24"/>
          <w:szCs w:val="24"/>
        </w:rPr>
        <w:t>A mixed</w:t>
      </w:r>
      <w:r w:rsidRPr="00CF5B94">
        <w:rPr>
          <w:rFonts w:ascii="Cambria Math" w:hAnsi="Cambria Math" w:cs="Cambria Math"/>
          <w:sz w:val="24"/>
          <w:szCs w:val="24"/>
        </w:rPr>
        <w:t>‑</w:t>
      </w:r>
      <w:r w:rsidRPr="00CF5B94">
        <w:rPr>
          <w:sz w:val="24"/>
          <w:szCs w:val="24"/>
        </w:rPr>
        <w:t>methods approach was used to generate both broad quantitative insights and rich qualitative understanding. This approach allowed the study to triangulate data and produce a more comprehensive evaluation of perception disparities.</w:t>
      </w:r>
      <w:r>
        <w:rPr>
          <w:sz w:val="24"/>
          <w:szCs w:val="24"/>
        </w:rPr>
        <w:t xml:space="preserve"> </w:t>
      </w:r>
      <w:r w:rsidR="008A641A" w:rsidRPr="008A641A">
        <w:rPr>
          <w:sz w:val="24"/>
          <w:szCs w:val="24"/>
        </w:rPr>
        <w:t>The quantitative component consist</w:t>
      </w:r>
      <w:r>
        <w:rPr>
          <w:sz w:val="24"/>
          <w:szCs w:val="24"/>
        </w:rPr>
        <w:t>ed</w:t>
      </w:r>
      <w:r w:rsidR="008A641A" w:rsidRPr="008A641A">
        <w:rPr>
          <w:sz w:val="24"/>
          <w:szCs w:val="24"/>
        </w:rPr>
        <w:t xml:space="preserve"> of an anonymous online Qualtrics survey administered to </w:t>
      </w:r>
      <w:r w:rsidR="008A641A">
        <w:rPr>
          <w:sz w:val="24"/>
          <w:szCs w:val="24"/>
        </w:rPr>
        <w:t>about</w:t>
      </w:r>
      <w:r w:rsidR="008A641A" w:rsidRPr="008A641A">
        <w:rPr>
          <w:sz w:val="24"/>
          <w:szCs w:val="24"/>
        </w:rPr>
        <w:t xml:space="preserve"> 100 students enrolled in or previously enrolled in GEOG 1125. Survey items dr</w:t>
      </w:r>
      <w:r>
        <w:rPr>
          <w:sz w:val="24"/>
          <w:szCs w:val="24"/>
        </w:rPr>
        <w:t>ew</w:t>
      </w:r>
      <w:r w:rsidR="008A641A" w:rsidRPr="008A641A">
        <w:rPr>
          <w:sz w:val="24"/>
          <w:szCs w:val="24"/>
        </w:rPr>
        <w:t xml:space="preserve"> from the UTAUT2 framework and additional constructs related to race, ethnicity, science learning contexts, and socioeconomic factors. </w:t>
      </w:r>
      <w:r w:rsidR="001D6874">
        <w:rPr>
          <w:sz w:val="24"/>
          <w:szCs w:val="24"/>
        </w:rPr>
        <w:t>Anonymous s</w:t>
      </w:r>
      <w:r w:rsidR="00BF6527" w:rsidRPr="00BF6527">
        <w:rPr>
          <w:sz w:val="24"/>
          <w:szCs w:val="24"/>
        </w:rPr>
        <w:t>urvey instrument was developed,</w:t>
      </w:r>
      <w:r w:rsidR="00F32950">
        <w:rPr>
          <w:sz w:val="24"/>
          <w:szCs w:val="24"/>
        </w:rPr>
        <w:t xml:space="preserve"> </w:t>
      </w:r>
      <w:r w:rsidR="00BF6527" w:rsidRPr="00BF6527">
        <w:rPr>
          <w:sz w:val="24"/>
          <w:szCs w:val="24"/>
        </w:rPr>
        <w:t>revised after feedback</w:t>
      </w:r>
      <w:r w:rsidR="00F32950">
        <w:rPr>
          <w:sz w:val="24"/>
          <w:szCs w:val="24"/>
        </w:rPr>
        <w:t xml:space="preserve"> from colleagues. It was later</w:t>
      </w:r>
      <w:r w:rsidR="00BF6527" w:rsidRPr="00BF6527">
        <w:rPr>
          <w:sz w:val="24"/>
          <w:szCs w:val="24"/>
        </w:rPr>
        <w:t xml:space="preserve"> </w:t>
      </w:r>
      <w:r w:rsidR="00F32950">
        <w:rPr>
          <w:sz w:val="24"/>
          <w:szCs w:val="24"/>
        </w:rPr>
        <w:t xml:space="preserve">submitted to and </w:t>
      </w:r>
      <w:r w:rsidR="00BF6527" w:rsidRPr="00BF6527">
        <w:rPr>
          <w:sz w:val="24"/>
          <w:szCs w:val="24"/>
        </w:rPr>
        <w:t>approved through IRB.</w:t>
      </w:r>
      <w:r w:rsidR="00BF6527">
        <w:rPr>
          <w:sz w:val="24"/>
          <w:szCs w:val="24"/>
        </w:rPr>
        <w:t xml:space="preserve"> </w:t>
      </w:r>
      <w:r w:rsidR="00F32950">
        <w:rPr>
          <w:sz w:val="24"/>
          <w:szCs w:val="24"/>
        </w:rPr>
        <w:t xml:space="preserve">Questions were then entered into Qualtrics, an online survey platform. </w:t>
      </w:r>
      <w:r w:rsidR="00BF6527" w:rsidRPr="00BF6527">
        <w:rPr>
          <w:sz w:val="24"/>
          <w:szCs w:val="24"/>
        </w:rPr>
        <w:t xml:space="preserve">Participants were recruited via email and </w:t>
      </w:r>
      <w:r w:rsidR="00F32950">
        <w:rPr>
          <w:sz w:val="24"/>
          <w:szCs w:val="24"/>
        </w:rPr>
        <w:t>class</w:t>
      </w:r>
      <w:r w:rsidR="00BF6527" w:rsidRPr="00BF6527">
        <w:rPr>
          <w:sz w:val="24"/>
          <w:szCs w:val="24"/>
        </w:rPr>
        <w:t xml:space="preserve"> announcements.</w:t>
      </w:r>
      <w:r w:rsidR="00BF6527">
        <w:rPr>
          <w:sz w:val="24"/>
          <w:szCs w:val="24"/>
        </w:rPr>
        <w:t xml:space="preserve"> </w:t>
      </w:r>
      <w:r w:rsidR="00BF6527" w:rsidRPr="00BF6527">
        <w:rPr>
          <w:sz w:val="24"/>
          <w:szCs w:val="24"/>
        </w:rPr>
        <w:t xml:space="preserve">A $5 gift card was distributed to </w:t>
      </w:r>
      <w:r w:rsidR="006342C4">
        <w:rPr>
          <w:sz w:val="24"/>
          <w:szCs w:val="24"/>
        </w:rPr>
        <w:t xml:space="preserve">each of </w:t>
      </w:r>
      <w:r w:rsidR="00BF6527" w:rsidRPr="00BF6527">
        <w:rPr>
          <w:sz w:val="24"/>
          <w:szCs w:val="24"/>
        </w:rPr>
        <w:t>the first 100 respondents.</w:t>
      </w:r>
      <w:r w:rsidR="00BF6527">
        <w:rPr>
          <w:sz w:val="24"/>
          <w:szCs w:val="24"/>
        </w:rPr>
        <w:t xml:space="preserve"> </w:t>
      </w:r>
      <w:r w:rsidR="008A641A" w:rsidRPr="008A641A">
        <w:rPr>
          <w:sz w:val="24"/>
          <w:szCs w:val="24"/>
        </w:rPr>
        <w:t xml:space="preserve">The </w:t>
      </w:r>
      <w:r w:rsidR="008C3264">
        <w:rPr>
          <w:sz w:val="24"/>
          <w:szCs w:val="24"/>
        </w:rPr>
        <w:t>survey results</w:t>
      </w:r>
      <w:r w:rsidR="008A641A" w:rsidRPr="008A641A">
        <w:rPr>
          <w:sz w:val="24"/>
          <w:szCs w:val="24"/>
        </w:rPr>
        <w:t xml:space="preserve"> </w:t>
      </w:r>
      <w:r>
        <w:rPr>
          <w:sz w:val="24"/>
          <w:szCs w:val="24"/>
        </w:rPr>
        <w:t>were</w:t>
      </w:r>
      <w:r w:rsidR="008A641A" w:rsidRPr="008A641A">
        <w:rPr>
          <w:sz w:val="24"/>
          <w:szCs w:val="24"/>
        </w:rPr>
        <w:t xml:space="preserve"> </w:t>
      </w:r>
      <w:r w:rsidR="00BF6527" w:rsidRPr="00BF6527">
        <w:rPr>
          <w:sz w:val="24"/>
          <w:szCs w:val="24"/>
        </w:rPr>
        <w:t>exported from Qualtrics to SPSS</w:t>
      </w:r>
      <w:r w:rsidR="00BF6527">
        <w:rPr>
          <w:sz w:val="24"/>
          <w:szCs w:val="24"/>
        </w:rPr>
        <w:t xml:space="preserve">, and </w:t>
      </w:r>
      <w:r w:rsidR="008A641A" w:rsidRPr="008A641A">
        <w:rPr>
          <w:sz w:val="24"/>
          <w:szCs w:val="24"/>
        </w:rPr>
        <w:t xml:space="preserve">analyzed using descriptive statistics, </w:t>
      </w:r>
      <w:r w:rsidR="008A641A" w:rsidRPr="008A641A">
        <w:rPr>
          <w:sz w:val="24"/>
          <w:szCs w:val="24"/>
        </w:rPr>
        <w:lastRenderedPageBreak/>
        <w:t>correlation analyses, and Chi</w:t>
      </w:r>
      <w:r w:rsidR="008A641A" w:rsidRPr="008A641A">
        <w:rPr>
          <w:rFonts w:ascii="Cambria Math" w:hAnsi="Cambria Math" w:cs="Cambria Math"/>
          <w:sz w:val="24"/>
          <w:szCs w:val="24"/>
        </w:rPr>
        <w:t>‑</w:t>
      </w:r>
      <w:r w:rsidR="008A641A" w:rsidRPr="008A641A">
        <w:rPr>
          <w:sz w:val="24"/>
          <w:szCs w:val="24"/>
        </w:rPr>
        <w:t>square tests to determine whether statistically significant differences exist</w:t>
      </w:r>
      <w:r>
        <w:rPr>
          <w:sz w:val="24"/>
          <w:szCs w:val="24"/>
        </w:rPr>
        <w:t>ed</w:t>
      </w:r>
      <w:r w:rsidR="008A641A" w:rsidRPr="008A641A">
        <w:rPr>
          <w:sz w:val="24"/>
          <w:szCs w:val="24"/>
        </w:rPr>
        <w:t xml:space="preserve"> across racial and ethnic groups.</w:t>
      </w:r>
    </w:p>
    <w:p w14:paraId="024DC932" w14:textId="6F1108D7" w:rsidR="008A641A" w:rsidRPr="008A641A" w:rsidRDefault="008A641A" w:rsidP="00BF6527">
      <w:pPr>
        <w:rPr>
          <w:sz w:val="24"/>
          <w:szCs w:val="24"/>
        </w:rPr>
      </w:pPr>
      <w:r w:rsidRPr="008A641A">
        <w:rPr>
          <w:sz w:val="24"/>
          <w:szCs w:val="24"/>
        </w:rPr>
        <w:t>The qualitative component consist</w:t>
      </w:r>
      <w:r w:rsidR="00CF5B94">
        <w:rPr>
          <w:sz w:val="24"/>
          <w:szCs w:val="24"/>
        </w:rPr>
        <w:t>ed</w:t>
      </w:r>
      <w:r w:rsidRPr="008A641A">
        <w:rPr>
          <w:sz w:val="24"/>
          <w:szCs w:val="24"/>
        </w:rPr>
        <w:t xml:space="preserve"> of two focus groups with approximately 20 participants selected from survey respondents. </w:t>
      </w:r>
      <w:r w:rsidR="00BF6527" w:rsidRPr="00BF6527">
        <w:rPr>
          <w:sz w:val="24"/>
          <w:szCs w:val="24"/>
        </w:rPr>
        <w:t>Two in</w:t>
      </w:r>
      <w:r w:rsidR="00BF6527" w:rsidRPr="00BF6527">
        <w:rPr>
          <w:rFonts w:ascii="Cambria Math" w:hAnsi="Cambria Math" w:cs="Cambria Math"/>
          <w:sz w:val="24"/>
          <w:szCs w:val="24"/>
        </w:rPr>
        <w:t>‑</w:t>
      </w:r>
      <w:r w:rsidR="00BF6527" w:rsidRPr="00BF6527">
        <w:rPr>
          <w:sz w:val="24"/>
          <w:szCs w:val="24"/>
        </w:rPr>
        <w:t>person focus groups were conducted.</w:t>
      </w:r>
      <w:r w:rsidR="00BF6527">
        <w:rPr>
          <w:sz w:val="24"/>
          <w:szCs w:val="24"/>
        </w:rPr>
        <w:t xml:space="preserve"> </w:t>
      </w:r>
      <w:r w:rsidR="006342C4">
        <w:rPr>
          <w:sz w:val="24"/>
          <w:szCs w:val="24"/>
        </w:rPr>
        <w:t>Each p</w:t>
      </w:r>
      <w:r w:rsidR="00BF6527" w:rsidRPr="00BF6527">
        <w:rPr>
          <w:sz w:val="24"/>
          <w:szCs w:val="24"/>
        </w:rPr>
        <w:t>articipant received a $15 gift card.</w:t>
      </w:r>
      <w:r w:rsidR="00BF6527">
        <w:rPr>
          <w:sz w:val="24"/>
          <w:szCs w:val="24"/>
        </w:rPr>
        <w:t xml:space="preserve"> </w:t>
      </w:r>
      <w:r w:rsidR="00BF6527" w:rsidRPr="00BF6527">
        <w:rPr>
          <w:sz w:val="24"/>
          <w:szCs w:val="24"/>
        </w:rPr>
        <w:t>Sessions were recorded and transcribed for analysis.</w:t>
      </w:r>
      <w:r w:rsidR="00BF6527">
        <w:rPr>
          <w:sz w:val="24"/>
          <w:szCs w:val="24"/>
        </w:rPr>
        <w:t xml:space="preserve"> </w:t>
      </w:r>
      <w:r w:rsidRPr="008A641A">
        <w:rPr>
          <w:sz w:val="24"/>
          <w:szCs w:val="24"/>
        </w:rPr>
        <w:t>These discussions allow</w:t>
      </w:r>
      <w:r w:rsidR="00CF5B94">
        <w:rPr>
          <w:sz w:val="24"/>
          <w:szCs w:val="24"/>
        </w:rPr>
        <w:t>ed</w:t>
      </w:r>
      <w:r w:rsidRPr="008A641A">
        <w:rPr>
          <w:sz w:val="24"/>
          <w:szCs w:val="24"/>
        </w:rPr>
        <w:t xml:space="preserve"> for a deeper exploration of students’ experiences, interpretations, and expectations regarding OER. Transcripts </w:t>
      </w:r>
      <w:r w:rsidR="003122BF">
        <w:rPr>
          <w:sz w:val="24"/>
          <w:szCs w:val="24"/>
        </w:rPr>
        <w:t>u</w:t>
      </w:r>
      <w:r w:rsidRPr="008A641A">
        <w:rPr>
          <w:sz w:val="24"/>
          <w:szCs w:val="24"/>
        </w:rPr>
        <w:t>nder</w:t>
      </w:r>
      <w:r w:rsidR="003122BF">
        <w:rPr>
          <w:sz w:val="24"/>
          <w:szCs w:val="24"/>
        </w:rPr>
        <w:t>went</w:t>
      </w:r>
      <w:r w:rsidRPr="008A641A">
        <w:rPr>
          <w:sz w:val="24"/>
          <w:szCs w:val="24"/>
        </w:rPr>
        <w:t xml:space="preserve"> thematic analysis, </w:t>
      </w:r>
      <w:r w:rsidR="00BF6527" w:rsidRPr="00BF6527">
        <w:rPr>
          <w:sz w:val="24"/>
          <w:szCs w:val="24"/>
        </w:rPr>
        <w:t>including</w:t>
      </w:r>
      <w:r w:rsidR="00BF6527">
        <w:rPr>
          <w:sz w:val="24"/>
          <w:szCs w:val="24"/>
        </w:rPr>
        <w:t xml:space="preserve"> t</w:t>
      </w:r>
      <w:r w:rsidR="00BF6527" w:rsidRPr="00BF6527">
        <w:rPr>
          <w:sz w:val="24"/>
          <w:szCs w:val="24"/>
        </w:rPr>
        <w:t>ranscript review and familiarization</w:t>
      </w:r>
      <w:r w:rsidR="00BF6527">
        <w:rPr>
          <w:sz w:val="24"/>
          <w:szCs w:val="24"/>
        </w:rPr>
        <w:t>, k</w:t>
      </w:r>
      <w:r w:rsidR="00BF6527" w:rsidRPr="00BF6527">
        <w:rPr>
          <w:sz w:val="24"/>
          <w:szCs w:val="24"/>
        </w:rPr>
        <w:t>eyword and code identification</w:t>
      </w:r>
      <w:r w:rsidR="00BF6527">
        <w:rPr>
          <w:sz w:val="24"/>
          <w:szCs w:val="24"/>
        </w:rPr>
        <w:t>, t</w:t>
      </w:r>
      <w:r w:rsidR="00BF6527" w:rsidRPr="00BF6527">
        <w:rPr>
          <w:sz w:val="24"/>
          <w:szCs w:val="24"/>
        </w:rPr>
        <w:t>heme development</w:t>
      </w:r>
      <w:r w:rsidR="00BF6527">
        <w:rPr>
          <w:sz w:val="24"/>
          <w:szCs w:val="24"/>
        </w:rPr>
        <w:t>, and i</w:t>
      </w:r>
      <w:r w:rsidR="00BF6527" w:rsidRPr="00BF6527">
        <w:rPr>
          <w:sz w:val="24"/>
          <w:szCs w:val="24"/>
        </w:rPr>
        <w:t>nterpretation and conceptual model construction</w:t>
      </w:r>
      <w:r w:rsidR="00BF6527">
        <w:rPr>
          <w:sz w:val="24"/>
          <w:szCs w:val="24"/>
        </w:rPr>
        <w:t>.</w:t>
      </w:r>
      <w:r w:rsidR="00BF6527" w:rsidRPr="00BF6527">
        <w:rPr>
          <w:sz w:val="24"/>
          <w:szCs w:val="24"/>
        </w:rPr>
        <w:t xml:space="preserve"> </w:t>
      </w:r>
      <w:r w:rsidRPr="008A641A">
        <w:rPr>
          <w:sz w:val="24"/>
          <w:szCs w:val="24"/>
        </w:rPr>
        <w:t xml:space="preserve">This qualitative phase </w:t>
      </w:r>
      <w:r w:rsidR="00CF5B94">
        <w:rPr>
          <w:sz w:val="24"/>
          <w:szCs w:val="24"/>
        </w:rPr>
        <w:t>wa</w:t>
      </w:r>
      <w:r w:rsidRPr="008A641A">
        <w:rPr>
          <w:sz w:val="24"/>
          <w:szCs w:val="24"/>
        </w:rPr>
        <w:t>s essential for identifying factors underlying disparities and generating actionable, student</w:t>
      </w:r>
      <w:r w:rsidRPr="008A641A">
        <w:rPr>
          <w:rFonts w:ascii="Cambria Math" w:hAnsi="Cambria Math" w:cs="Cambria Math"/>
          <w:sz w:val="24"/>
          <w:szCs w:val="24"/>
        </w:rPr>
        <w:t>‑</w:t>
      </w:r>
      <w:r w:rsidRPr="008A641A">
        <w:rPr>
          <w:sz w:val="24"/>
          <w:szCs w:val="24"/>
        </w:rPr>
        <w:t>centered recommendations.</w:t>
      </w:r>
    </w:p>
    <w:p w14:paraId="7D2C23C1" w14:textId="0EB1CF83" w:rsidR="008A641A" w:rsidRPr="008A641A" w:rsidRDefault="008A641A" w:rsidP="003119FA">
      <w:pPr>
        <w:rPr>
          <w:sz w:val="24"/>
          <w:szCs w:val="24"/>
        </w:rPr>
      </w:pPr>
      <w:r w:rsidRPr="008A641A">
        <w:rPr>
          <w:sz w:val="24"/>
          <w:szCs w:val="24"/>
        </w:rPr>
        <w:t>The findings show</w:t>
      </w:r>
      <w:r w:rsidR="00CF5B94">
        <w:rPr>
          <w:sz w:val="24"/>
          <w:szCs w:val="24"/>
        </w:rPr>
        <w:t>ed</w:t>
      </w:r>
      <w:r w:rsidRPr="008A641A">
        <w:rPr>
          <w:sz w:val="24"/>
          <w:szCs w:val="24"/>
        </w:rPr>
        <w:t xml:space="preserve"> that racial and ethnic differences exist in perceptions of OER, shaped by factors such as prior access to learning resources, technological familiarity, financial constraints, and students’ broader educational experiences. </w:t>
      </w:r>
      <w:r w:rsidR="003119FA">
        <w:rPr>
          <w:sz w:val="24"/>
          <w:szCs w:val="24"/>
        </w:rPr>
        <w:t xml:space="preserve">The </w:t>
      </w:r>
      <w:r w:rsidR="003119FA" w:rsidRPr="003119FA">
        <w:rPr>
          <w:sz w:val="24"/>
          <w:szCs w:val="24"/>
        </w:rPr>
        <w:t xml:space="preserve">analysis </w:t>
      </w:r>
      <w:r w:rsidR="003119FA">
        <w:rPr>
          <w:sz w:val="24"/>
          <w:szCs w:val="24"/>
        </w:rPr>
        <w:t>revealed that c</w:t>
      </w:r>
      <w:r w:rsidR="003119FA" w:rsidRPr="003119FA">
        <w:rPr>
          <w:sz w:val="24"/>
          <w:szCs w:val="24"/>
        </w:rPr>
        <w:t xml:space="preserve">ost relief </w:t>
      </w:r>
      <w:r w:rsidR="00DC7FB1">
        <w:rPr>
          <w:sz w:val="24"/>
          <w:szCs w:val="24"/>
        </w:rPr>
        <w:t>wa</w:t>
      </w:r>
      <w:r w:rsidR="003119FA" w:rsidRPr="003119FA">
        <w:rPr>
          <w:sz w:val="24"/>
          <w:szCs w:val="24"/>
        </w:rPr>
        <w:t>s a major benefit across all groups, but OER usability concerns differ</w:t>
      </w:r>
      <w:r w:rsidR="00DC7FB1">
        <w:rPr>
          <w:sz w:val="24"/>
          <w:szCs w:val="24"/>
        </w:rPr>
        <w:t>ed</w:t>
      </w:r>
      <w:r w:rsidR="003119FA" w:rsidRPr="003119FA">
        <w:rPr>
          <w:sz w:val="24"/>
          <w:szCs w:val="24"/>
        </w:rPr>
        <w:t xml:space="preserve"> across racial and ethnic lines.</w:t>
      </w:r>
      <w:r w:rsidR="003119FA">
        <w:rPr>
          <w:sz w:val="24"/>
          <w:szCs w:val="24"/>
        </w:rPr>
        <w:t xml:space="preserve"> </w:t>
      </w:r>
      <w:r w:rsidR="003119FA" w:rsidRPr="003119FA">
        <w:rPr>
          <w:sz w:val="24"/>
          <w:szCs w:val="24"/>
        </w:rPr>
        <w:t>Students cite</w:t>
      </w:r>
      <w:r w:rsidR="00DC7FB1">
        <w:rPr>
          <w:sz w:val="24"/>
          <w:szCs w:val="24"/>
        </w:rPr>
        <w:t>d</w:t>
      </w:r>
      <w:r w:rsidR="003119FA" w:rsidRPr="003119FA">
        <w:rPr>
          <w:sz w:val="24"/>
          <w:szCs w:val="24"/>
        </w:rPr>
        <w:t xml:space="preserve"> varying levels of digital preparedness, which affect</w:t>
      </w:r>
      <w:r w:rsidR="00DC7FB1">
        <w:rPr>
          <w:sz w:val="24"/>
          <w:szCs w:val="24"/>
        </w:rPr>
        <w:t>ed</w:t>
      </w:r>
      <w:r w:rsidR="003119FA" w:rsidRPr="003119FA">
        <w:rPr>
          <w:sz w:val="24"/>
          <w:szCs w:val="24"/>
        </w:rPr>
        <w:t xml:space="preserve"> their comfort with online textbooks.</w:t>
      </w:r>
      <w:r w:rsidR="003119FA">
        <w:rPr>
          <w:sz w:val="24"/>
          <w:szCs w:val="24"/>
        </w:rPr>
        <w:t xml:space="preserve"> R</w:t>
      </w:r>
      <w:r w:rsidR="003119FA" w:rsidRPr="003119FA">
        <w:rPr>
          <w:sz w:val="24"/>
          <w:szCs w:val="24"/>
        </w:rPr>
        <w:t>acial and ethnic differences exist</w:t>
      </w:r>
      <w:r w:rsidR="00DC7FB1">
        <w:rPr>
          <w:sz w:val="24"/>
          <w:szCs w:val="24"/>
        </w:rPr>
        <w:t>ed</w:t>
      </w:r>
      <w:r w:rsidR="003119FA" w:rsidRPr="003119FA">
        <w:rPr>
          <w:sz w:val="24"/>
          <w:szCs w:val="24"/>
        </w:rPr>
        <w:t xml:space="preserve"> in perceptions of OER related to usefulness, ease of use, and overall satisfaction.</w:t>
      </w:r>
      <w:r w:rsidR="003119FA">
        <w:rPr>
          <w:sz w:val="24"/>
          <w:szCs w:val="24"/>
        </w:rPr>
        <w:t xml:space="preserve"> </w:t>
      </w:r>
      <w:r w:rsidR="003119FA" w:rsidRPr="003119FA">
        <w:rPr>
          <w:sz w:val="24"/>
          <w:szCs w:val="24"/>
        </w:rPr>
        <w:t>Students from historically disadvantaged groups rel</w:t>
      </w:r>
      <w:r w:rsidR="003119FA">
        <w:rPr>
          <w:sz w:val="24"/>
          <w:szCs w:val="24"/>
        </w:rPr>
        <w:t>ied</w:t>
      </w:r>
      <w:r w:rsidR="003119FA" w:rsidRPr="003119FA">
        <w:rPr>
          <w:sz w:val="24"/>
          <w:szCs w:val="24"/>
        </w:rPr>
        <w:t xml:space="preserve"> heavily on OER due to cost savings. </w:t>
      </w:r>
      <w:r w:rsidR="003122BF">
        <w:rPr>
          <w:sz w:val="24"/>
          <w:szCs w:val="24"/>
        </w:rPr>
        <w:t>However, the differences were limited</w:t>
      </w:r>
      <w:r w:rsidR="00A175F4">
        <w:rPr>
          <w:sz w:val="24"/>
          <w:szCs w:val="24"/>
        </w:rPr>
        <w:t xml:space="preserve"> and the gaps were not very large</w:t>
      </w:r>
      <w:r w:rsidR="003122BF">
        <w:rPr>
          <w:sz w:val="24"/>
          <w:szCs w:val="24"/>
        </w:rPr>
        <w:t xml:space="preserve">. </w:t>
      </w:r>
      <w:r w:rsidR="00DC7FB1">
        <w:rPr>
          <w:sz w:val="24"/>
          <w:szCs w:val="24"/>
        </w:rPr>
        <w:t>Also, e</w:t>
      </w:r>
      <w:r w:rsidR="00DC7FB1" w:rsidRPr="00DC7FB1">
        <w:rPr>
          <w:sz w:val="24"/>
          <w:szCs w:val="24"/>
        </w:rPr>
        <w:t>quity gaps in OER perception may reflect broader structural disparities in digital access and educational experiences.</w:t>
      </w:r>
      <w:r w:rsidR="00DC7FB1">
        <w:rPr>
          <w:sz w:val="24"/>
          <w:szCs w:val="24"/>
        </w:rPr>
        <w:t xml:space="preserve"> In summary, t</w:t>
      </w:r>
      <w:r w:rsidRPr="008A641A">
        <w:rPr>
          <w:sz w:val="24"/>
          <w:szCs w:val="24"/>
        </w:rPr>
        <w:t>he integration of quantitative and qualitative evidence allow</w:t>
      </w:r>
      <w:r w:rsidR="00CF5B94">
        <w:rPr>
          <w:sz w:val="24"/>
          <w:szCs w:val="24"/>
        </w:rPr>
        <w:t>ed</w:t>
      </w:r>
      <w:r w:rsidRPr="008A641A">
        <w:rPr>
          <w:sz w:val="24"/>
          <w:szCs w:val="24"/>
        </w:rPr>
        <w:t xml:space="preserve"> the project to articulate practical strategies to reduce perception gaps—such as improved communication about OER benefits, better alignment of OER materials with diverse learning needs, and faculty development focused on inclusive teaching practices.</w:t>
      </w:r>
      <w:r w:rsidR="00DC7FB1">
        <w:rPr>
          <w:sz w:val="24"/>
          <w:szCs w:val="24"/>
        </w:rPr>
        <w:t xml:space="preserve"> </w:t>
      </w:r>
    </w:p>
    <w:p w14:paraId="2B198409" w14:textId="112004BB" w:rsidR="00331337" w:rsidRDefault="008A641A" w:rsidP="008A641A">
      <w:pPr>
        <w:rPr>
          <w:sz w:val="24"/>
          <w:szCs w:val="24"/>
        </w:rPr>
      </w:pPr>
      <w:r w:rsidRPr="008A641A">
        <w:rPr>
          <w:sz w:val="24"/>
          <w:szCs w:val="24"/>
        </w:rPr>
        <w:t>Overall, this project contribute</w:t>
      </w:r>
      <w:r w:rsidR="00CF5B94">
        <w:rPr>
          <w:sz w:val="24"/>
          <w:szCs w:val="24"/>
        </w:rPr>
        <w:t>d</w:t>
      </w:r>
      <w:r w:rsidRPr="008A641A">
        <w:rPr>
          <w:sz w:val="24"/>
          <w:szCs w:val="24"/>
        </w:rPr>
        <w:t xml:space="preserve"> to the limited existing literature on OER equity in science education, offering empirical insights and concrete recommendations for faculty, departments, and institutions seeking to expand OER use while ensuring equitable outcomes for all students.</w:t>
      </w:r>
    </w:p>
    <w:p w14:paraId="14622AF1" w14:textId="77777777" w:rsidR="00CD66B4" w:rsidRPr="00331337" w:rsidRDefault="00CD66B4" w:rsidP="008A641A">
      <w:pPr>
        <w:rPr>
          <w:sz w:val="24"/>
          <w:szCs w:val="24"/>
        </w:rPr>
      </w:pPr>
    </w:p>
    <w:p w14:paraId="056D35BC" w14:textId="2064BDD3" w:rsidR="00FA1792" w:rsidRDefault="00331337" w:rsidP="00331337">
      <w:pPr>
        <w:pStyle w:val="Heading1"/>
      </w:pPr>
      <w:r>
        <w:t xml:space="preserve">2. </w:t>
      </w:r>
      <w:r w:rsidR="007974E9">
        <w:t xml:space="preserve">Resulting </w:t>
      </w:r>
      <w:r>
        <w:t>Practice Recommendations</w:t>
      </w:r>
    </w:p>
    <w:p w14:paraId="0A300D1D" w14:textId="404EF59B" w:rsidR="00331337" w:rsidRDefault="00331337" w:rsidP="00FA1792">
      <w:pPr>
        <w:rPr>
          <w:i/>
          <w:iCs/>
          <w:sz w:val="24"/>
          <w:szCs w:val="24"/>
        </w:rPr>
      </w:pPr>
      <w:r>
        <w:rPr>
          <w:i/>
          <w:iCs/>
          <w:sz w:val="24"/>
          <w:szCs w:val="24"/>
        </w:rPr>
        <w:t>In a bullet-point list, briefly list any recommendations the team has for future practices in teaching and learning with open and/or affordable materials</w:t>
      </w:r>
      <w:r w:rsidR="00A420C6">
        <w:rPr>
          <w:i/>
          <w:iCs/>
          <w:sz w:val="24"/>
          <w:szCs w:val="24"/>
        </w:rPr>
        <w:t xml:space="preserve"> as related to this research</w:t>
      </w:r>
      <w:r>
        <w:rPr>
          <w:i/>
          <w:iCs/>
          <w:sz w:val="24"/>
          <w:szCs w:val="24"/>
        </w:rPr>
        <w:t xml:space="preserve">. </w:t>
      </w:r>
    </w:p>
    <w:p w14:paraId="709F25C7" w14:textId="4DAB2C94" w:rsidR="00DC7FB1" w:rsidRPr="00DC7FB1" w:rsidRDefault="00DC7FB1" w:rsidP="00DC7FB1">
      <w:pPr>
        <w:rPr>
          <w:sz w:val="24"/>
          <w:szCs w:val="24"/>
        </w:rPr>
      </w:pPr>
      <w:r>
        <w:rPr>
          <w:sz w:val="24"/>
          <w:szCs w:val="24"/>
        </w:rPr>
        <w:t>B</w:t>
      </w:r>
      <w:r w:rsidRPr="00DC7FB1">
        <w:rPr>
          <w:sz w:val="24"/>
          <w:szCs w:val="24"/>
        </w:rPr>
        <w:t>ased on the study, the following best practices will be recommended</w:t>
      </w:r>
      <w:r w:rsidR="0050467B">
        <w:rPr>
          <w:sz w:val="24"/>
          <w:szCs w:val="24"/>
        </w:rPr>
        <w:t xml:space="preserve"> for universities</w:t>
      </w:r>
      <w:r w:rsidRPr="00DC7FB1">
        <w:rPr>
          <w:sz w:val="24"/>
          <w:szCs w:val="24"/>
        </w:rPr>
        <w:t>:</w:t>
      </w:r>
    </w:p>
    <w:p w14:paraId="4590270B" w14:textId="77777777" w:rsidR="00DC7FB1" w:rsidRPr="00DC7FB1" w:rsidRDefault="00DC7FB1" w:rsidP="00DC7FB1">
      <w:pPr>
        <w:pStyle w:val="ListParagraph"/>
        <w:numPr>
          <w:ilvl w:val="0"/>
          <w:numId w:val="22"/>
        </w:numPr>
        <w:rPr>
          <w:sz w:val="24"/>
          <w:szCs w:val="24"/>
        </w:rPr>
      </w:pPr>
      <w:r w:rsidRPr="00DC7FB1">
        <w:rPr>
          <w:sz w:val="24"/>
          <w:szCs w:val="24"/>
        </w:rPr>
        <w:t>Increase instructional scaffolding for using OER platforms.</w:t>
      </w:r>
    </w:p>
    <w:p w14:paraId="11FDA788" w14:textId="44DE7793" w:rsidR="00DC7FB1" w:rsidRPr="00DC7FB1" w:rsidRDefault="00DC7FB1" w:rsidP="00DC7FB1">
      <w:pPr>
        <w:pStyle w:val="ListParagraph"/>
        <w:numPr>
          <w:ilvl w:val="0"/>
          <w:numId w:val="22"/>
        </w:numPr>
        <w:rPr>
          <w:sz w:val="24"/>
          <w:szCs w:val="24"/>
        </w:rPr>
      </w:pPr>
      <w:r w:rsidRPr="00DC7FB1">
        <w:rPr>
          <w:sz w:val="24"/>
          <w:szCs w:val="24"/>
        </w:rPr>
        <w:t>Science</w:t>
      </w:r>
      <w:r w:rsidR="003E66C8">
        <w:rPr>
          <w:sz w:val="24"/>
          <w:szCs w:val="24"/>
        </w:rPr>
        <w:t xml:space="preserve"> course</w:t>
      </w:r>
      <w:r w:rsidRPr="00DC7FB1">
        <w:rPr>
          <w:sz w:val="24"/>
          <w:szCs w:val="24"/>
        </w:rPr>
        <w:t xml:space="preserve"> instructors should adopt lesson</w:t>
      </w:r>
      <w:r w:rsidRPr="00DC7FB1">
        <w:rPr>
          <w:rFonts w:ascii="Cambria Math" w:hAnsi="Cambria Math" w:cs="Cambria Math"/>
          <w:sz w:val="24"/>
          <w:szCs w:val="24"/>
        </w:rPr>
        <w:t>‑</w:t>
      </w:r>
      <w:r w:rsidRPr="00DC7FB1">
        <w:rPr>
          <w:sz w:val="24"/>
          <w:szCs w:val="24"/>
        </w:rPr>
        <w:t>design strategies that support students with varying levels of technological familiarity.</w:t>
      </w:r>
    </w:p>
    <w:p w14:paraId="17A2387A" w14:textId="46A95D46" w:rsidR="00DC7FB1" w:rsidRPr="00DC7FB1" w:rsidRDefault="003E66C8" w:rsidP="00DC7FB1">
      <w:pPr>
        <w:pStyle w:val="ListParagraph"/>
        <w:numPr>
          <w:ilvl w:val="0"/>
          <w:numId w:val="22"/>
        </w:numPr>
        <w:rPr>
          <w:sz w:val="24"/>
          <w:szCs w:val="24"/>
        </w:rPr>
      </w:pPr>
      <w:r w:rsidRPr="00DC7FB1">
        <w:rPr>
          <w:sz w:val="24"/>
          <w:szCs w:val="24"/>
        </w:rPr>
        <w:lastRenderedPageBreak/>
        <w:t>Science</w:t>
      </w:r>
      <w:r>
        <w:rPr>
          <w:sz w:val="24"/>
          <w:szCs w:val="24"/>
        </w:rPr>
        <w:t xml:space="preserve"> course</w:t>
      </w:r>
      <w:r w:rsidRPr="00DC7FB1">
        <w:rPr>
          <w:sz w:val="24"/>
          <w:szCs w:val="24"/>
        </w:rPr>
        <w:t xml:space="preserve"> instructors</w:t>
      </w:r>
      <w:r w:rsidR="0050467B">
        <w:rPr>
          <w:sz w:val="24"/>
          <w:szCs w:val="24"/>
        </w:rPr>
        <w:t xml:space="preserve"> should p</w:t>
      </w:r>
      <w:r w:rsidR="00DC7FB1" w:rsidRPr="00DC7FB1">
        <w:rPr>
          <w:sz w:val="24"/>
          <w:szCs w:val="24"/>
        </w:rPr>
        <w:t>rovide early</w:t>
      </w:r>
      <w:r w:rsidR="00DC7FB1" w:rsidRPr="00DC7FB1">
        <w:rPr>
          <w:rFonts w:ascii="Cambria Math" w:hAnsi="Cambria Math" w:cs="Cambria Math"/>
          <w:sz w:val="24"/>
          <w:szCs w:val="24"/>
        </w:rPr>
        <w:t>‑</w:t>
      </w:r>
      <w:r w:rsidR="00DC7FB1" w:rsidRPr="00DC7FB1">
        <w:rPr>
          <w:sz w:val="24"/>
          <w:szCs w:val="24"/>
        </w:rPr>
        <w:t>semester guidance on how OER will be integrated into coursework.</w:t>
      </w:r>
    </w:p>
    <w:p w14:paraId="4B10B8FD" w14:textId="706146B6" w:rsidR="00DC7FB1" w:rsidRPr="00DC7FB1" w:rsidRDefault="00DC7FB1" w:rsidP="00DC7FB1">
      <w:pPr>
        <w:pStyle w:val="ListParagraph"/>
        <w:numPr>
          <w:ilvl w:val="0"/>
          <w:numId w:val="22"/>
        </w:numPr>
        <w:rPr>
          <w:sz w:val="24"/>
          <w:szCs w:val="24"/>
        </w:rPr>
      </w:pPr>
      <w:r w:rsidRPr="00DC7FB1">
        <w:rPr>
          <w:sz w:val="24"/>
          <w:szCs w:val="24"/>
        </w:rPr>
        <w:t xml:space="preserve">Improving the language and cultural inclusiveness of OER materials can strengthen engagement among </w:t>
      </w:r>
      <w:r w:rsidR="0050467B">
        <w:rPr>
          <w:sz w:val="24"/>
          <w:szCs w:val="24"/>
        </w:rPr>
        <w:t>diverse</w:t>
      </w:r>
      <w:r w:rsidRPr="00DC7FB1">
        <w:rPr>
          <w:sz w:val="24"/>
          <w:szCs w:val="24"/>
        </w:rPr>
        <w:t xml:space="preserve"> students.</w:t>
      </w:r>
    </w:p>
    <w:p w14:paraId="1927B610" w14:textId="2767962A" w:rsidR="00DC7FB1" w:rsidRPr="00DC7FB1" w:rsidRDefault="00DC7FB1" w:rsidP="00DC7FB1">
      <w:pPr>
        <w:pStyle w:val="ListParagraph"/>
        <w:numPr>
          <w:ilvl w:val="0"/>
          <w:numId w:val="22"/>
        </w:numPr>
        <w:rPr>
          <w:sz w:val="24"/>
          <w:szCs w:val="24"/>
        </w:rPr>
      </w:pPr>
      <w:r w:rsidRPr="00DC7FB1">
        <w:rPr>
          <w:sz w:val="24"/>
          <w:szCs w:val="24"/>
        </w:rPr>
        <w:t>Institutions should provide professional development to faculty on equitable OER implementation and increase student support resources for digital learning.</w:t>
      </w:r>
    </w:p>
    <w:p w14:paraId="23803531" w14:textId="3ECADF4A" w:rsidR="00DC7FB1" w:rsidRPr="00DC7FB1" w:rsidRDefault="0050467B" w:rsidP="00DC7FB1">
      <w:pPr>
        <w:pStyle w:val="ListParagraph"/>
        <w:numPr>
          <w:ilvl w:val="0"/>
          <w:numId w:val="22"/>
        </w:numPr>
        <w:rPr>
          <w:sz w:val="24"/>
          <w:szCs w:val="24"/>
        </w:rPr>
      </w:pPr>
      <w:r>
        <w:rPr>
          <w:sz w:val="24"/>
          <w:szCs w:val="24"/>
        </w:rPr>
        <w:t>Universities should o</w:t>
      </w:r>
      <w:r w:rsidR="00DC7FB1" w:rsidRPr="00DC7FB1">
        <w:rPr>
          <w:sz w:val="24"/>
          <w:szCs w:val="24"/>
        </w:rPr>
        <w:t>ffer technical support resources linked directly from OER materials.</w:t>
      </w:r>
    </w:p>
    <w:p w14:paraId="00D4030A" w14:textId="66AF9714" w:rsidR="00DC7FB1" w:rsidRPr="00DC7FB1" w:rsidRDefault="0050467B" w:rsidP="00DC7FB1">
      <w:pPr>
        <w:pStyle w:val="ListParagraph"/>
        <w:numPr>
          <w:ilvl w:val="0"/>
          <w:numId w:val="22"/>
        </w:numPr>
        <w:rPr>
          <w:sz w:val="24"/>
          <w:szCs w:val="24"/>
        </w:rPr>
      </w:pPr>
      <w:r>
        <w:rPr>
          <w:sz w:val="24"/>
          <w:szCs w:val="24"/>
        </w:rPr>
        <w:t>Universities should e</w:t>
      </w:r>
      <w:r w:rsidR="00DC7FB1" w:rsidRPr="00DC7FB1">
        <w:rPr>
          <w:sz w:val="24"/>
          <w:szCs w:val="24"/>
        </w:rPr>
        <w:t>ncourage faculty collaboration to share successful strategies for equitable OER adoption.</w:t>
      </w:r>
    </w:p>
    <w:p w14:paraId="09FB3402" w14:textId="15160B16" w:rsidR="00DC7FB1" w:rsidRDefault="00DC7FB1" w:rsidP="00DC7FB1">
      <w:pPr>
        <w:rPr>
          <w:sz w:val="24"/>
          <w:szCs w:val="24"/>
        </w:rPr>
      </w:pPr>
      <w:r w:rsidRPr="00DC7FB1">
        <w:rPr>
          <w:sz w:val="24"/>
          <w:szCs w:val="24"/>
        </w:rPr>
        <w:t xml:space="preserve">These strategies will help minimize perception gaps and improve the learning experience for all </w:t>
      </w:r>
      <w:r w:rsidR="0050467B">
        <w:rPr>
          <w:sz w:val="24"/>
          <w:szCs w:val="24"/>
        </w:rPr>
        <w:t xml:space="preserve">college </w:t>
      </w:r>
      <w:r w:rsidRPr="00DC7FB1">
        <w:rPr>
          <w:sz w:val="24"/>
          <w:szCs w:val="24"/>
        </w:rPr>
        <w:t>students.</w:t>
      </w:r>
    </w:p>
    <w:p w14:paraId="09B412ED" w14:textId="77777777" w:rsidR="00CD66B4" w:rsidRPr="00331337" w:rsidRDefault="00CD66B4" w:rsidP="00DC7FB1">
      <w:pPr>
        <w:rPr>
          <w:sz w:val="24"/>
          <w:szCs w:val="24"/>
        </w:rPr>
      </w:pPr>
    </w:p>
    <w:p w14:paraId="2569A2E6" w14:textId="5932411E" w:rsidR="00B90CC8" w:rsidRDefault="00331337" w:rsidP="00331337">
      <w:pPr>
        <w:pStyle w:val="Heading1"/>
      </w:pPr>
      <w:r>
        <w:t xml:space="preserve">3. </w:t>
      </w:r>
      <w:r w:rsidR="00FA1792">
        <w:t>Future Plans</w:t>
      </w:r>
    </w:p>
    <w:p w14:paraId="2107F97D" w14:textId="18033BFF" w:rsidR="00F70B70" w:rsidRDefault="00FA1792" w:rsidP="00FA1792">
      <w:pPr>
        <w:rPr>
          <w:i/>
          <w:iCs/>
          <w:sz w:val="24"/>
          <w:szCs w:val="24"/>
        </w:rPr>
      </w:pPr>
      <w:r w:rsidRPr="00FA1792">
        <w:rPr>
          <w:i/>
          <w:iCs/>
          <w:sz w:val="24"/>
          <w:szCs w:val="24"/>
        </w:rPr>
        <w:t>Give a</w:t>
      </w:r>
      <w:r>
        <w:rPr>
          <w:i/>
          <w:iCs/>
          <w:sz w:val="24"/>
          <w:szCs w:val="24"/>
        </w:rPr>
        <w:t xml:space="preserve"> description of any scholarship work involving this research planned for the future, including </w:t>
      </w:r>
      <w:r w:rsidRPr="00FA1792">
        <w:rPr>
          <w:i/>
          <w:iCs/>
          <w:sz w:val="24"/>
          <w:szCs w:val="24"/>
        </w:rPr>
        <w:t>publications</w:t>
      </w:r>
      <w:r>
        <w:rPr>
          <w:i/>
          <w:iCs/>
          <w:sz w:val="24"/>
          <w:szCs w:val="24"/>
        </w:rPr>
        <w:t xml:space="preserve">, presentations, and </w:t>
      </w:r>
      <w:r w:rsidRPr="00FA1792">
        <w:rPr>
          <w:i/>
          <w:iCs/>
          <w:sz w:val="24"/>
          <w:szCs w:val="24"/>
        </w:rPr>
        <w:t>conference papers</w:t>
      </w:r>
      <w:r>
        <w:rPr>
          <w:i/>
          <w:iCs/>
          <w:sz w:val="24"/>
          <w:szCs w:val="24"/>
        </w:rPr>
        <w:t>.</w:t>
      </w:r>
    </w:p>
    <w:p w14:paraId="2C9C749D" w14:textId="602E25B1" w:rsidR="00FA1792" w:rsidRDefault="00FA1792" w:rsidP="00FA1792">
      <w:pPr>
        <w:rPr>
          <w:i/>
          <w:iCs/>
          <w:sz w:val="24"/>
          <w:szCs w:val="24"/>
        </w:rPr>
      </w:pPr>
      <w:r>
        <w:rPr>
          <w:i/>
          <w:iCs/>
          <w:sz w:val="24"/>
          <w:szCs w:val="24"/>
        </w:rPr>
        <w:t>(</w:t>
      </w:r>
      <w:r w:rsidRPr="00FA1792">
        <w:rPr>
          <w:i/>
          <w:iCs/>
          <w:sz w:val="24"/>
          <w:szCs w:val="24"/>
        </w:rPr>
        <w:t>Research Grants teams are encouraged to publish their findings in peer-reviewed journals after the end of the project. Open Access (OA) publications are preferred to increase access to research materials, but due to varied OA options and tenure/promotion procedures within different disciplines and institutions, OA publishing is not a requirement</w:t>
      </w:r>
      <w:r>
        <w:rPr>
          <w:i/>
          <w:iCs/>
          <w:sz w:val="24"/>
          <w:szCs w:val="24"/>
        </w:rPr>
        <w:t xml:space="preserve">.) </w:t>
      </w:r>
    </w:p>
    <w:p w14:paraId="23A4DD3F" w14:textId="77777777" w:rsidR="00CD66B4" w:rsidRDefault="00CD66B4" w:rsidP="00404971">
      <w:pPr>
        <w:rPr>
          <w:sz w:val="24"/>
          <w:szCs w:val="24"/>
        </w:rPr>
      </w:pPr>
    </w:p>
    <w:p w14:paraId="2840202F" w14:textId="06C87B4E" w:rsidR="00331337" w:rsidRDefault="00404971" w:rsidP="00404971">
      <w:pPr>
        <w:rPr>
          <w:sz w:val="24"/>
          <w:szCs w:val="24"/>
        </w:rPr>
      </w:pPr>
      <w:r w:rsidRPr="00404971">
        <w:rPr>
          <w:sz w:val="24"/>
          <w:szCs w:val="24"/>
        </w:rPr>
        <w:t xml:space="preserve">A conference </w:t>
      </w:r>
      <w:r>
        <w:rPr>
          <w:sz w:val="24"/>
          <w:szCs w:val="24"/>
        </w:rPr>
        <w:t>proposal was</w:t>
      </w:r>
      <w:r w:rsidRPr="00404971">
        <w:rPr>
          <w:sz w:val="24"/>
          <w:szCs w:val="24"/>
        </w:rPr>
        <w:t xml:space="preserve"> submitted to the 2025 Applied Geography Annual Conference</w:t>
      </w:r>
      <w:r>
        <w:rPr>
          <w:sz w:val="24"/>
          <w:szCs w:val="24"/>
        </w:rPr>
        <w:t xml:space="preserve">, and it was accepted. The presentation was given on October 24, 2025, </w:t>
      </w:r>
      <w:r w:rsidRPr="00404971">
        <w:rPr>
          <w:sz w:val="24"/>
          <w:szCs w:val="24"/>
        </w:rPr>
        <w:t>with</w:t>
      </w:r>
      <w:r>
        <w:rPr>
          <w:sz w:val="24"/>
          <w:szCs w:val="24"/>
        </w:rPr>
        <w:t xml:space="preserve"> abstract </w:t>
      </w:r>
      <w:r w:rsidRPr="00404971">
        <w:rPr>
          <w:sz w:val="24"/>
          <w:szCs w:val="24"/>
        </w:rPr>
        <w:t>publi</w:t>
      </w:r>
      <w:r>
        <w:rPr>
          <w:sz w:val="24"/>
          <w:szCs w:val="24"/>
        </w:rPr>
        <w:t>shed</w:t>
      </w:r>
      <w:r w:rsidRPr="00404971">
        <w:rPr>
          <w:sz w:val="24"/>
          <w:szCs w:val="24"/>
        </w:rPr>
        <w:t xml:space="preserve"> in the conference proceedings.</w:t>
      </w:r>
      <w:r>
        <w:rPr>
          <w:sz w:val="24"/>
          <w:szCs w:val="24"/>
        </w:rPr>
        <w:t xml:space="preserve"> </w:t>
      </w:r>
      <w:r w:rsidRPr="00404971">
        <w:rPr>
          <w:sz w:val="24"/>
          <w:szCs w:val="24"/>
        </w:rPr>
        <w:t xml:space="preserve">A full research article </w:t>
      </w:r>
      <w:r>
        <w:rPr>
          <w:sz w:val="24"/>
          <w:szCs w:val="24"/>
        </w:rPr>
        <w:t xml:space="preserve">is also under preparation and will be </w:t>
      </w:r>
      <w:r w:rsidRPr="00404971">
        <w:rPr>
          <w:sz w:val="24"/>
          <w:szCs w:val="24"/>
        </w:rPr>
        <w:t xml:space="preserve">submitted to the Journal of Geography, </w:t>
      </w:r>
      <w:r>
        <w:rPr>
          <w:sz w:val="24"/>
          <w:szCs w:val="24"/>
        </w:rPr>
        <w:t>or another reputable</w:t>
      </w:r>
      <w:r w:rsidRPr="00404971">
        <w:rPr>
          <w:sz w:val="24"/>
          <w:szCs w:val="24"/>
        </w:rPr>
        <w:t xml:space="preserve"> </w:t>
      </w:r>
      <w:r w:rsidR="003E66C8">
        <w:rPr>
          <w:sz w:val="24"/>
          <w:szCs w:val="24"/>
        </w:rPr>
        <w:t xml:space="preserve">open-source </w:t>
      </w:r>
      <w:r w:rsidRPr="00404971">
        <w:rPr>
          <w:sz w:val="24"/>
          <w:szCs w:val="24"/>
        </w:rPr>
        <w:t>journal in geography education.</w:t>
      </w:r>
      <w:r>
        <w:rPr>
          <w:sz w:val="24"/>
          <w:szCs w:val="24"/>
        </w:rPr>
        <w:t xml:space="preserve"> In addition, final result</w:t>
      </w:r>
      <w:r w:rsidRPr="00404971">
        <w:rPr>
          <w:sz w:val="24"/>
          <w:szCs w:val="24"/>
        </w:rPr>
        <w:t xml:space="preserve"> </w:t>
      </w:r>
      <w:r>
        <w:rPr>
          <w:sz w:val="24"/>
          <w:szCs w:val="24"/>
        </w:rPr>
        <w:t xml:space="preserve">will also be shared with </w:t>
      </w:r>
      <w:r w:rsidRPr="00404971">
        <w:rPr>
          <w:sz w:val="24"/>
          <w:szCs w:val="24"/>
        </w:rPr>
        <w:t xml:space="preserve">VSU </w:t>
      </w:r>
      <w:r>
        <w:rPr>
          <w:sz w:val="24"/>
          <w:szCs w:val="24"/>
        </w:rPr>
        <w:t xml:space="preserve">faculty </w:t>
      </w:r>
      <w:r w:rsidR="0050467B">
        <w:rPr>
          <w:sz w:val="24"/>
          <w:szCs w:val="24"/>
        </w:rPr>
        <w:t xml:space="preserve">and presentation will be given to faculty </w:t>
      </w:r>
      <w:r w:rsidRPr="00404971">
        <w:rPr>
          <w:sz w:val="24"/>
          <w:szCs w:val="24"/>
        </w:rPr>
        <w:t xml:space="preserve">to guide future OER adoption at </w:t>
      </w:r>
      <w:r w:rsidR="0050467B">
        <w:rPr>
          <w:sz w:val="24"/>
          <w:szCs w:val="24"/>
        </w:rPr>
        <w:t>the</w:t>
      </w:r>
      <w:r>
        <w:rPr>
          <w:sz w:val="24"/>
          <w:szCs w:val="24"/>
        </w:rPr>
        <w:t xml:space="preserve"> school</w:t>
      </w:r>
      <w:r w:rsidRPr="00404971">
        <w:rPr>
          <w:sz w:val="24"/>
          <w:szCs w:val="24"/>
        </w:rPr>
        <w:t>.</w:t>
      </w:r>
    </w:p>
    <w:p w14:paraId="542F0267" w14:textId="77777777" w:rsidR="00CD66B4" w:rsidRPr="00331337" w:rsidRDefault="00CD66B4" w:rsidP="00404971">
      <w:pPr>
        <w:rPr>
          <w:sz w:val="24"/>
          <w:szCs w:val="24"/>
        </w:rPr>
      </w:pPr>
    </w:p>
    <w:p w14:paraId="4B75538C" w14:textId="473DB7DE" w:rsidR="00331337" w:rsidRPr="004F2656" w:rsidRDefault="00331337" w:rsidP="00331337">
      <w:pPr>
        <w:pStyle w:val="Heading1"/>
      </w:pPr>
      <w:r>
        <w:t>4. Supplementary Files</w:t>
      </w:r>
    </w:p>
    <w:p w14:paraId="3ED8682A" w14:textId="0F20F51E" w:rsidR="00F32950" w:rsidRDefault="00331337" w:rsidP="00FA1792">
      <w:pPr>
        <w:rPr>
          <w:i/>
          <w:iCs/>
          <w:sz w:val="24"/>
          <w:szCs w:val="24"/>
        </w:rPr>
      </w:pPr>
      <w:bookmarkStart w:id="0" w:name="_Hlk156374279"/>
      <w:r>
        <w:rPr>
          <w:i/>
          <w:iCs/>
          <w:sz w:val="24"/>
          <w:szCs w:val="24"/>
        </w:rPr>
        <w:t xml:space="preserve">Give a description of any supplementary files provided to ALG, such as data sets or figures. Indicate whether these files can be shared with the public. </w:t>
      </w:r>
      <w:bookmarkEnd w:id="0"/>
    </w:p>
    <w:p w14:paraId="2964B261" w14:textId="77777777" w:rsidR="00331337" w:rsidRPr="00331337" w:rsidRDefault="00331337" w:rsidP="00FA1792">
      <w:pPr>
        <w:rPr>
          <w:sz w:val="24"/>
          <w:szCs w:val="24"/>
        </w:rPr>
      </w:pPr>
    </w:p>
    <w:p w14:paraId="09AEF0B4" w14:textId="34E17912" w:rsidR="00FA1792" w:rsidRPr="00FA1792" w:rsidRDefault="00F32950" w:rsidP="00FA1792">
      <w:pPr>
        <w:rPr>
          <w:sz w:val="24"/>
          <w:szCs w:val="24"/>
        </w:rPr>
      </w:pPr>
      <w:r>
        <w:rPr>
          <w:sz w:val="24"/>
          <w:szCs w:val="24"/>
        </w:rPr>
        <w:t>The paper will be provided after the publication</w:t>
      </w:r>
      <w:r w:rsidR="00F261BB">
        <w:rPr>
          <w:sz w:val="24"/>
          <w:szCs w:val="24"/>
        </w:rPr>
        <w:t xml:space="preserve"> in 2026</w:t>
      </w:r>
      <w:r>
        <w:rPr>
          <w:sz w:val="24"/>
          <w:szCs w:val="24"/>
        </w:rPr>
        <w:t xml:space="preserve">. </w:t>
      </w:r>
    </w:p>
    <w:sectPr w:rsidR="00FA1792" w:rsidRPr="00FA17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663A"/>
    <w:multiLevelType w:val="hybridMultilevel"/>
    <w:tmpl w:val="03BC86D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F51B08"/>
    <w:multiLevelType w:val="multilevel"/>
    <w:tmpl w:val="EA38EE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4F0D7F"/>
    <w:multiLevelType w:val="hybridMultilevel"/>
    <w:tmpl w:val="CFF6A5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31376A8"/>
    <w:multiLevelType w:val="hybridMultilevel"/>
    <w:tmpl w:val="77CEAF0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6B08D6"/>
    <w:multiLevelType w:val="hybridMultilevel"/>
    <w:tmpl w:val="3C4A58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AFC7754"/>
    <w:multiLevelType w:val="hybridMultilevel"/>
    <w:tmpl w:val="31641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491CB5"/>
    <w:multiLevelType w:val="hybridMultilevel"/>
    <w:tmpl w:val="F59E5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7944A3"/>
    <w:multiLevelType w:val="hybridMultilevel"/>
    <w:tmpl w:val="C728E1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81A78A1"/>
    <w:multiLevelType w:val="hybridMultilevel"/>
    <w:tmpl w:val="2EB8A7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9A7936"/>
    <w:multiLevelType w:val="hybridMultilevel"/>
    <w:tmpl w:val="30581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56445B"/>
    <w:multiLevelType w:val="hybridMultilevel"/>
    <w:tmpl w:val="191CC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4E5DE2"/>
    <w:multiLevelType w:val="hybridMultilevel"/>
    <w:tmpl w:val="F978F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AD4C4A"/>
    <w:multiLevelType w:val="hybridMultilevel"/>
    <w:tmpl w:val="EA38E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137076"/>
    <w:multiLevelType w:val="hybridMultilevel"/>
    <w:tmpl w:val="70921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9C6B5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2775371"/>
    <w:multiLevelType w:val="hybridMultilevel"/>
    <w:tmpl w:val="5AAC1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135438"/>
    <w:multiLevelType w:val="hybridMultilevel"/>
    <w:tmpl w:val="49D6E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29284A"/>
    <w:multiLevelType w:val="hybridMultilevel"/>
    <w:tmpl w:val="E780D8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35F0359"/>
    <w:multiLevelType w:val="hybridMultilevel"/>
    <w:tmpl w:val="EE968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1D483F"/>
    <w:multiLevelType w:val="hybridMultilevel"/>
    <w:tmpl w:val="D6E6D3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4496AE7"/>
    <w:multiLevelType w:val="hybridMultilevel"/>
    <w:tmpl w:val="8842AF5A"/>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C81827"/>
    <w:multiLevelType w:val="hybridMultilevel"/>
    <w:tmpl w:val="96ACD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5616818">
    <w:abstractNumId w:val="9"/>
  </w:num>
  <w:num w:numId="2" w16cid:durableId="852188083">
    <w:abstractNumId w:val="17"/>
  </w:num>
  <w:num w:numId="3" w16cid:durableId="1237862827">
    <w:abstractNumId w:val="18"/>
  </w:num>
  <w:num w:numId="4" w16cid:durableId="481850484">
    <w:abstractNumId w:val="15"/>
  </w:num>
  <w:num w:numId="5" w16cid:durableId="546337451">
    <w:abstractNumId w:val="5"/>
  </w:num>
  <w:num w:numId="6" w16cid:durableId="487748269">
    <w:abstractNumId w:val="6"/>
  </w:num>
  <w:num w:numId="7" w16cid:durableId="747076528">
    <w:abstractNumId w:val="3"/>
  </w:num>
  <w:num w:numId="8" w16cid:durableId="1553730264">
    <w:abstractNumId w:val="7"/>
  </w:num>
  <w:num w:numId="9" w16cid:durableId="39132111">
    <w:abstractNumId w:val="2"/>
  </w:num>
  <w:num w:numId="10" w16cid:durableId="954099631">
    <w:abstractNumId w:val="12"/>
  </w:num>
  <w:num w:numId="11" w16cid:durableId="1647197986">
    <w:abstractNumId w:val="1"/>
  </w:num>
  <w:num w:numId="12" w16cid:durableId="1536387590">
    <w:abstractNumId w:val="14"/>
  </w:num>
  <w:num w:numId="13" w16cid:durableId="625893964">
    <w:abstractNumId w:val="16"/>
  </w:num>
  <w:num w:numId="14" w16cid:durableId="1536186975">
    <w:abstractNumId w:val="11"/>
  </w:num>
  <w:num w:numId="15" w16cid:durableId="1388334442">
    <w:abstractNumId w:val="4"/>
  </w:num>
  <w:num w:numId="16" w16cid:durableId="2016181737">
    <w:abstractNumId w:val="19"/>
  </w:num>
  <w:num w:numId="17" w16cid:durableId="1770420908">
    <w:abstractNumId w:val="8"/>
  </w:num>
  <w:num w:numId="18" w16cid:durableId="435370968">
    <w:abstractNumId w:val="20"/>
  </w:num>
  <w:num w:numId="19" w16cid:durableId="1106540899">
    <w:abstractNumId w:val="0"/>
  </w:num>
  <w:num w:numId="20" w16cid:durableId="1079669162">
    <w:abstractNumId w:val="10"/>
  </w:num>
  <w:num w:numId="21" w16cid:durableId="2084449685">
    <w:abstractNumId w:val="21"/>
  </w:num>
  <w:num w:numId="22" w16cid:durableId="8380401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044"/>
    <w:rsid w:val="00004C9D"/>
    <w:rsid w:val="00044DF3"/>
    <w:rsid w:val="00071B22"/>
    <w:rsid w:val="00075E05"/>
    <w:rsid w:val="00082546"/>
    <w:rsid w:val="00101A24"/>
    <w:rsid w:val="00104CE9"/>
    <w:rsid w:val="00190A51"/>
    <w:rsid w:val="001A218C"/>
    <w:rsid w:val="001B2107"/>
    <w:rsid w:val="001D51FD"/>
    <w:rsid w:val="001D6874"/>
    <w:rsid w:val="001E0EE3"/>
    <w:rsid w:val="001F4532"/>
    <w:rsid w:val="00220876"/>
    <w:rsid w:val="00240544"/>
    <w:rsid w:val="00285B86"/>
    <w:rsid w:val="003038A8"/>
    <w:rsid w:val="003119FA"/>
    <w:rsid w:val="003122BF"/>
    <w:rsid w:val="00331337"/>
    <w:rsid w:val="0033401E"/>
    <w:rsid w:val="00346044"/>
    <w:rsid w:val="003C1B4D"/>
    <w:rsid w:val="003D0854"/>
    <w:rsid w:val="003E1BCB"/>
    <w:rsid w:val="003E66C8"/>
    <w:rsid w:val="003F4D85"/>
    <w:rsid w:val="00404971"/>
    <w:rsid w:val="00471C68"/>
    <w:rsid w:val="0048459F"/>
    <w:rsid w:val="004F2656"/>
    <w:rsid w:val="0050467B"/>
    <w:rsid w:val="005212A0"/>
    <w:rsid w:val="005C11E8"/>
    <w:rsid w:val="00630263"/>
    <w:rsid w:val="006342C4"/>
    <w:rsid w:val="00647915"/>
    <w:rsid w:val="00684A25"/>
    <w:rsid w:val="00687254"/>
    <w:rsid w:val="006A36A9"/>
    <w:rsid w:val="0073273B"/>
    <w:rsid w:val="00772C9F"/>
    <w:rsid w:val="007974E9"/>
    <w:rsid w:val="007A7E9B"/>
    <w:rsid w:val="00811187"/>
    <w:rsid w:val="00871BC4"/>
    <w:rsid w:val="008A641A"/>
    <w:rsid w:val="008C3264"/>
    <w:rsid w:val="009333CB"/>
    <w:rsid w:val="00945780"/>
    <w:rsid w:val="0097575D"/>
    <w:rsid w:val="00987DD6"/>
    <w:rsid w:val="00A06E45"/>
    <w:rsid w:val="00A175F4"/>
    <w:rsid w:val="00A32AF4"/>
    <w:rsid w:val="00A420C6"/>
    <w:rsid w:val="00A77F21"/>
    <w:rsid w:val="00AF4890"/>
    <w:rsid w:val="00B516BC"/>
    <w:rsid w:val="00B90CC8"/>
    <w:rsid w:val="00BD653D"/>
    <w:rsid w:val="00BF3C8A"/>
    <w:rsid w:val="00BF6527"/>
    <w:rsid w:val="00C45872"/>
    <w:rsid w:val="00C65741"/>
    <w:rsid w:val="00C66162"/>
    <w:rsid w:val="00C749E5"/>
    <w:rsid w:val="00C807D1"/>
    <w:rsid w:val="00C80819"/>
    <w:rsid w:val="00C96BCC"/>
    <w:rsid w:val="00CB083C"/>
    <w:rsid w:val="00CD66B4"/>
    <w:rsid w:val="00CF5B94"/>
    <w:rsid w:val="00D11976"/>
    <w:rsid w:val="00DC2BFF"/>
    <w:rsid w:val="00DC7FB1"/>
    <w:rsid w:val="00DD3803"/>
    <w:rsid w:val="00DD5245"/>
    <w:rsid w:val="00DF79E1"/>
    <w:rsid w:val="00E167BE"/>
    <w:rsid w:val="00E34FAA"/>
    <w:rsid w:val="00EE35AB"/>
    <w:rsid w:val="00EE7C7E"/>
    <w:rsid w:val="00F01364"/>
    <w:rsid w:val="00F261BB"/>
    <w:rsid w:val="00F32950"/>
    <w:rsid w:val="00F6782A"/>
    <w:rsid w:val="00F70B70"/>
    <w:rsid w:val="00F70FB8"/>
    <w:rsid w:val="00FA1792"/>
    <w:rsid w:val="00FB4B24"/>
    <w:rsid w:val="00FE2527"/>
    <w:rsid w:val="00FF51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0F3297"/>
  <w15:docId w15:val="{E164F4C5-4A3B-4F5C-B228-9F9D1D4B1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401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3401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46044"/>
    <w:rPr>
      <w:color w:val="0000FF"/>
      <w:u w:val="single"/>
    </w:rPr>
  </w:style>
  <w:style w:type="table" w:styleId="TableGrid">
    <w:name w:val="Table Grid"/>
    <w:basedOn w:val="TableNormal"/>
    <w:rsid w:val="00346044"/>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6044"/>
    <w:pPr>
      <w:ind w:left="720"/>
      <w:contextualSpacing/>
    </w:pPr>
  </w:style>
  <w:style w:type="character" w:customStyle="1" w:styleId="tgc">
    <w:name w:val="_tgc"/>
    <w:basedOn w:val="DefaultParagraphFont"/>
    <w:rsid w:val="00CB083C"/>
  </w:style>
  <w:style w:type="character" w:customStyle="1" w:styleId="Heading1Char">
    <w:name w:val="Heading 1 Char"/>
    <w:basedOn w:val="DefaultParagraphFont"/>
    <w:link w:val="Heading1"/>
    <w:uiPriority w:val="9"/>
    <w:rsid w:val="003340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3401E"/>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3F4D85"/>
    <w:rPr>
      <w:color w:val="605E5C"/>
      <w:shd w:val="clear" w:color="auto" w:fill="E1DFDD"/>
    </w:rPr>
  </w:style>
  <w:style w:type="paragraph" w:styleId="Title">
    <w:name w:val="Title"/>
    <w:basedOn w:val="Normal"/>
    <w:next w:val="Normal"/>
    <w:link w:val="TitleChar"/>
    <w:uiPriority w:val="10"/>
    <w:qFormat/>
    <w:rsid w:val="00285B86"/>
    <w:pPr>
      <w:jc w:val="center"/>
    </w:pPr>
    <w:rPr>
      <w:b/>
      <w:sz w:val="28"/>
      <w:szCs w:val="28"/>
    </w:rPr>
  </w:style>
  <w:style w:type="character" w:customStyle="1" w:styleId="TitleChar">
    <w:name w:val="Title Char"/>
    <w:basedOn w:val="DefaultParagraphFont"/>
    <w:link w:val="Title"/>
    <w:uiPriority w:val="10"/>
    <w:rsid w:val="00285B86"/>
    <w:rPr>
      <w:b/>
      <w:sz w:val="28"/>
      <w:szCs w:val="28"/>
    </w:rPr>
  </w:style>
  <w:style w:type="paragraph" w:styleId="Subtitle">
    <w:name w:val="Subtitle"/>
    <w:basedOn w:val="Title"/>
    <w:next w:val="Normal"/>
    <w:link w:val="SubtitleChar"/>
    <w:uiPriority w:val="11"/>
    <w:qFormat/>
    <w:rsid w:val="00285B86"/>
  </w:style>
  <w:style w:type="character" w:customStyle="1" w:styleId="SubtitleChar">
    <w:name w:val="Subtitle Char"/>
    <w:basedOn w:val="DefaultParagraphFont"/>
    <w:link w:val="Subtitle"/>
    <w:uiPriority w:val="11"/>
    <w:rsid w:val="00285B86"/>
    <w:rPr>
      <w:b/>
      <w:sz w:val="28"/>
      <w:szCs w:val="28"/>
    </w:rPr>
  </w:style>
  <w:style w:type="paragraph" w:styleId="BalloonText">
    <w:name w:val="Balloon Text"/>
    <w:basedOn w:val="Normal"/>
    <w:link w:val="BalloonTextChar"/>
    <w:uiPriority w:val="99"/>
    <w:semiHidden/>
    <w:unhideWhenUsed/>
    <w:rsid w:val="00FF51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1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14832">
      <w:bodyDiv w:val="1"/>
      <w:marLeft w:val="0"/>
      <w:marRight w:val="0"/>
      <w:marTop w:val="0"/>
      <w:marBottom w:val="0"/>
      <w:divBdr>
        <w:top w:val="none" w:sz="0" w:space="0" w:color="auto"/>
        <w:left w:val="none" w:sz="0" w:space="0" w:color="auto"/>
        <w:bottom w:val="none" w:sz="0" w:space="0" w:color="auto"/>
        <w:right w:val="none" w:sz="0" w:space="0" w:color="auto"/>
      </w:divBdr>
    </w:div>
    <w:div w:id="459806022">
      <w:bodyDiv w:val="1"/>
      <w:marLeft w:val="0"/>
      <w:marRight w:val="0"/>
      <w:marTop w:val="0"/>
      <w:marBottom w:val="0"/>
      <w:divBdr>
        <w:top w:val="none" w:sz="0" w:space="0" w:color="auto"/>
        <w:left w:val="none" w:sz="0" w:space="0" w:color="auto"/>
        <w:bottom w:val="none" w:sz="0" w:space="0" w:color="auto"/>
        <w:right w:val="none" w:sz="0" w:space="0" w:color="auto"/>
      </w:divBdr>
      <w:divsChild>
        <w:div w:id="381098333">
          <w:marLeft w:val="0"/>
          <w:marRight w:val="0"/>
          <w:marTop w:val="0"/>
          <w:marBottom w:val="0"/>
          <w:divBdr>
            <w:top w:val="none" w:sz="0" w:space="0" w:color="auto"/>
            <w:left w:val="none" w:sz="0" w:space="0" w:color="auto"/>
            <w:bottom w:val="none" w:sz="0" w:space="0" w:color="auto"/>
            <w:right w:val="none" w:sz="0" w:space="0" w:color="auto"/>
          </w:divBdr>
        </w:div>
      </w:divsChild>
    </w:div>
    <w:div w:id="1333026644">
      <w:bodyDiv w:val="1"/>
      <w:marLeft w:val="0"/>
      <w:marRight w:val="0"/>
      <w:marTop w:val="0"/>
      <w:marBottom w:val="0"/>
      <w:divBdr>
        <w:top w:val="none" w:sz="0" w:space="0" w:color="auto"/>
        <w:left w:val="none" w:sz="0" w:space="0" w:color="auto"/>
        <w:bottom w:val="none" w:sz="0" w:space="0" w:color="auto"/>
        <w:right w:val="none" w:sz="0" w:space="0" w:color="auto"/>
      </w:divBdr>
    </w:div>
    <w:div w:id="1545750061">
      <w:bodyDiv w:val="1"/>
      <w:marLeft w:val="0"/>
      <w:marRight w:val="0"/>
      <w:marTop w:val="0"/>
      <w:marBottom w:val="0"/>
      <w:divBdr>
        <w:top w:val="none" w:sz="0" w:space="0" w:color="auto"/>
        <w:left w:val="none" w:sz="0" w:space="0" w:color="auto"/>
        <w:bottom w:val="none" w:sz="0" w:space="0" w:color="auto"/>
        <w:right w:val="none" w:sz="0" w:space="0" w:color="auto"/>
      </w:divBdr>
      <w:divsChild>
        <w:div w:id="157769710">
          <w:marLeft w:val="0"/>
          <w:marRight w:val="0"/>
          <w:marTop w:val="0"/>
          <w:marBottom w:val="0"/>
          <w:divBdr>
            <w:top w:val="none" w:sz="0" w:space="0" w:color="auto"/>
            <w:left w:val="none" w:sz="0" w:space="0" w:color="auto"/>
            <w:bottom w:val="none" w:sz="0" w:space="0" w:color="auto"/>
            <w:right w:val="none" w:sz="0" w:space="0" w:color="auto"/>
          </w:divBdr>
        </w:div>
      </w:divsChild>
    </w:div>
    <w:div w:id="1839806658">
      <w:bodyDiv w:val="1"/>
      <w:marLeft w:val="0"/>
      <w:marRight w:val="0"/>
      <w:marTop w:val="0"/>
      <w:marBottom w:val="0"/>
      <w:divBdr>
        <w:top w:val="none" w:sz="0" w:space="0" w:color="auto"/>
        <w:left w:val="none" w:sz="0" w:space="0" w:color="auto"/>
        <w:bottom w:val="none" w:sz="0" w:space="0" w:color="auto"/>
        <w:right w:val="none" w:sz="0" w:space="0" w:color="auto"/>
      </w:divBdr>
    </w:div>
    <w:div w:id="1848447416">
      <w:bodyDiv w:val="1"/>
      <w:marLeft w:val="0"/>
      <w:marRight w:val="0"/>
      <w:marTop w:val="0"/>
      <w:marBottom w:val="0"/>
      <w:divBdr>
        <w:top w:val="none" w:sz="0" w:space="0" w:color="auto"/>
        <w:left w:val="none" w:sz="0" w:space="0" w:color="auto"/>
        <w:bottom w:val="none" w:sz="0" w:space="0" w:color="auto"/>
        <w:right w:val="none" w:sz="0" w:space="0" w:color="auto"/>
      </w:divBdr>
    </w:div>
    <w:div w:id="1957832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urvey.zohopublic.com/zs/xTCCv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9fff0862-dda6-4fd7-9437-296e7a0fcd4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22C76DF9BD8349B0CA3C9A1AA4C548" ma:contentTypeVersion="116" ma:contentTypeDescription="Create a new document." ma:contentTypeScope="" ma:versionID="80b104a84a1dbbf48154349606acd99c">
  <xsd:schema xmlns:xsd="http://www.w3.org/2001/XMLSchema" xmlns:xs="http://www.w3.org/2001/XMLSchema" xmlns:p="http://schemas.microsoft.com/office/2006/metadata/properties" xmlns:ns3="http://schemas.microsoft.com/sharepoint/v4" xmlns:ns4="9fff0862-dda6-4fd7-9437-296e7a0fcd45" xmlns:ns5="7dcc4a76-b6f0-4a5c-8242-557922f7abb0" targetNamespace="http://schemas.microsoft.com/office/2006/metadata/properties" ma:root="true" ma:fieldsID="ddfcfd57ef0f81b23b4cccf9ad9cae23" ns3:_="" ns4:_="" ns5:_="">
    <xsd:import namespace="http://schemas.microsoft.com/sharepoint/v4"/>
    <xsd:import namespace="9fff0862-dda6-4fd7-9437-296e7a0fcd45"/>
    <xsd:import namespace="7dcc4a76-b6f0-4a5c-8242-557922f7abb0"/>
    <xsd:element name="properties">
      <xsd:complexType>
        <xsd:sequence>
          <xsd:element name="documentManagement">
            <xsd:complexType>
              <xsd:all>
                <xsd:element ref="ns3:IconOverlay"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ff0862-dda6-4fd7-9437-296e7a0fcd4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f0ecd7d-7305-47a7-acb2-43d943ef9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c4a76-b6f0-4a5c-8242-557922f7abb0"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1C2929-364B-46C9-A5D6-FAEEFCF34E31}">
  <ds:schemaRefs>
    <ds:schemaRef ds:uri="http://schemas.microsoft.com/sharepoint/v3/contenttype/forms"/>
  </ds:schemaRefs>
</ds:datastoreItem>
</file>

<file path=customXml/itemProps2.xml><?xml version="1.0" encoding="utf-8"?>
<ds:datastoreItem xmlns:ds="http://schemas.openxmlformats.org/officeDocument/2006/customXml" ds:itemID="{0D2FEF73-E947-49FD-95E9-CD7281206E7D}">
  <ds:schemaRefs>
    <ds:schemaRef ds:uri="http://schemas.microsoft.com/office/2006/metadata/properties"/>
    <ds:schemaRef ds:uri="http://schemas.microsoft.com/office/infopath/2007/PartnerControls"/>
    <ds:schemaRef ds:uri="http://schemas.microsoft.com/sharepoint/v4"/>
    <ds:schemaRef ds:uri="9fff0862-dda6-4fd7-9437-296e7a0fcd45"/>
  </ds:schemaRefs>
</ds:datastoreItem>
</file>

<file path=customXml/itemProps3.xml><?xml version="1.0" encoding="utf-8"?>
<ds:datastoreItem xmlns:ds="http://schemas.openxmlformats.org/officeDocument/2006/customXml" ds:itemID="{C712EEB9-F614-45A5-BAF1-7D189DDB2041}"/>
</file>

<file path=docProps/app.xml><?xml version="1.0" encoding="utf-8"?>
<Properties xmlns="http://schemas.openxmlformats.org/officeDocument/2006/extended-properties" xmlns:vt="http://schemas.openxmlformats.org/officeDocument/2006/docPropsVTypes">
  <Template>Normal</Template>
  <TotalTime>0</TotalTime>
  <Pages>4</Pages>
  <Words>1314</Words>
  <Characters>8122</Characters>
  <Application>Microsoft Office Word</Application>
  <DocSecurity>0</DocSecurity>
  <Lines>136</Lines>
  <Paragraphs>55</Paragraphs>
  <ScaleCrop>false</ScaleCrop>
  <HeadingPairs>
    <vt:vector size="2" baseType="variant">
      <vt:variant>
        <vt:lpstr>Title</vt:lpstr>
      </vt:variant>
      <vt:variant>
        <vt:i4>1</vt:i4>
      </vt:variant>
    </vt:vector>
  </HeadingPairs>
  <TitlesOfParts>
    <vt:vector size="1" baseType="lpstr">
      <vt:lpstr/>
    </vt:vector>
  </TitlesOfParts>
  <Company>Valdosta State University</Company>
  <LinksUpToDate>false</LinksUpToDate>
  <CharactersWithSpaces>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Gallant</dc:creator>
  <cp:keywords/>
  <dc:description/>
  <cp:lastModifiedBy>Jeff Gallant</cp:lastModifiedBy>
  <cp:revision>3</cp:revision>
  <cp:lastPrinted>2025-12-19T16:32:00Z</cp:lastPrinted>
  <dcterms:created xsi:type="dcterms:W3CDTF">2025-12-19T17:08:00Z</dcterms:created>
  <dcterms:modified xsi:type="dcterms:W3CDTF">2026-01-14T14:15:00Z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0x0101007222C76DF9BD8349B0CA3C9A1AA4C548</vt:lpwstr>
  </property>
  <property fmtid="{D5CDD505-2E9C-101B-9397-08002B2CF9AE}" pid="3" name="e1a5b98cdd71426dacb6e478c7a5882f">
    <vt:lpwstr/>
  </property>
  <property fmtid="{D5CDD505-2E9C-101B-9397-08002B2CF9AE}" pid="4" name="MediaServiceImageTags">
    <vt:lpwstr/>
  </property>
  <property fmtid="{D5CDD505-2E9C-101B-9397-08002B2CF9AE}" pid="5" name="TaxCatchAll">
    <vt:lpwstr/>
  </property>
  <property fmtid="{D5CDD505-2E9C-101B-9397-08002B2CF9AE}" pid="6" name="Wiki_x0020_Page_x0020_Categories">
    <vt:lpwstr/>
  </property>
  <property fmtid="{D5CDD505-2E9C-101B-9397-08002B2CF9AE}" pid="7" name="Wiki Page Categories">
    <vt:lpwstr/>
  </property>
  <property fmtid="{D5CDD505-2E9C-101B-9397-08002B2CF9AE}" pid="8" name="GrammarlyDocumentId">
    <vt:lpwstr>75e02234-de0d-43d7-a151-eb5cf85d877a</vt:lpwstr>
  </property>
  <property fmtid="{D5CDD505-2E9C-101B-9397-08002B2CF9AE}" pid="9" name="docLang">
    <vt:lpwstr>en</vt:lpwstr>
  </property>
</Properties>
</file>