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5FFF44D" w14:textId="124AC298" w:rsidR="00227BF0" w:rsidRPr="00EA244B" w:rsidRDefault="00D65831" w:rsidP="40BF7736">
      <w:pPr>
        <w:jc w:val="center"/>
        <w:rPr>
          <w:b/>
          <w:bCs/>
          <w:sz w:val="24"/>
          <w:szCs w:val="24"/>
        </w:rPr>
      </w:pPr>
      <w:r>
        <w:rPr>
          <w:noProof/>
        </w:rPr>
        <w:drawing>
          <wp:inline distT="0" distB="0" distL="0" distR="0" wp14:anchorId="5917F033" wp14:editId="73C23ED6">
            <wp:extent cx="3009900" cy="660709"/>
            <wp:effectExtent l="0" t="0" r="0" b="6350"/>
            <wp:docPr id="1417541261" name="Picture 5" descr="Affordable Learning Georgia logo" title="Affordable Learning Georgia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pic:nvPicPr>
                  <pic:blipFill>
                    <a:blip r:embed="rId11">
                      <a:extLst>
                        <a:ext uri="{28A0092B-C50C-407E-A947-70E740481C1C}">
                          <a14:useLocalDpi xmlns:a14="http://schemas.microsoft.com/office/drawing/2010/main" val="0"/>
                        </a:ext>
                      </a:extLst>
                    </a:blip>
                    <a:stretch>
                      <a:fillRect/>
                    </a:stretch>
                  </pic:blipFill>
                  <pic:spPr>
                    <a:xfrm>
                      <a:off x="0" y="0"/>
                      <a:ext cx="3009900" cy="660709"/>
                    </a:xfrm>
                    <a:prstGeom prst="rect">
                      <a:avLst/>
                    </a:prstGeom>
                  </pic:spPr>
                </pic:pic>
              </a:graphicData>
            </a:graphic>
          </wp:inline>
        </w:drawing>
      </w:r>
    </w:p>
    <w:p w14:paraId="7AB9E371" w14:textId="4C48C0DE" w:rsidR="00BD5BE3" w:rsidRPr="00EA244B" w:rsidRDefault="00E012F5" w:rsidP="00BD5BE3">
      <w:pPr>
        <w:pStyle w:val="Title"/>
        <w:jc w:val="center"/>
      </w:pPr>
      <w:r>
        <w:t>20</w:t>
      </w:r>
      <w:r w:rsidR="005B78F9">
        <w:t>2</w:t>
      </w:r>
      <w:r w:rsidR="007276C7">
        <w:t>1</w:t>
      </w:r>
      <w:r>
        <w:t xml:space="preserve"> </w:t>
      </w:r>
      <w:r w:rsidR="00BD5BE3" w:rsidRPr="00EA244B">
        <w:t>Final Report Summary</w:t>
      </w:r>
    </w:p>
    <w:p w14:paraId="04FED169" w14:textId="09427BAC" w:rsidR="0006469A" w:rsidRPr="0006469A" w:rsidRDefault="00871F4D" w:rsidP="00CA3726">
      <w:pPr>
        <w:pStyle w:val="Subtitle"/>
        <w:jc w:val="center"/>
        <w:rPr>
          <w:b/>
          <w:bCs/>
          <w:noProof/>
        </w:rPr>
      </w:pPr>
      <w:r>
        <w:rPr>
          <w:sz w:val="28"/>
        </w:rPr>
        <w:t xml:space="preserve">Affordable </w:t>
      </w:r>
      <w:r w:rsidR="007276C7">
        <w:rPr>
          <w:sz w:val="28"/>
        </w:rPr>
        <w:t>Learning Georgia</w:t>
      </w:r>
      <w:r>
        <w:rPr>
          <w:sz w:val="28"/>
        </w:rPr>
        <w:t xml:space="preserve"> </w:t>
      </w:r>
      <w:r w:rsidR="005B78F9">
        <w:rPr>
          <w:sz w:val="28"/>
        </w:rPr>
        <w:t>T</w:t>
      </w:r>
      <w:r w:rsidR="00BD5BE3" w:rsidRPr="00EA244B">
        <w:rPr>
          <w:sz w:val="28"/>
        </w:rPr>
        <w:t>ransformation Grant</w:t>
      </w:r>
      <w:r w:rsidR="007276C7">
        <w:rPr>
          <w:sz w:val="28"/>
        </w:rPr>
        <w:t>s</w:t>
      </w:r>
    </w:p>
    <w:p w14:paraId="5B880979" w14:textId="022C9FE5" w:rsidR="007F5ED3" w:rsidRPr="00EA244B" w:rsidRDefault="007F5ED3" w:rsidP="007F5ED3">
      <w:pPr>
        <w:pStyle w:val="Heading1"/>
      </w:pPr>
      <w:bookmarkStart w:id="0" w:name="_Toc71722066"/>
      <w:r>
        <w:t>Highlig</w:t>
      </w:r>
      <w:r w:rsidRPr="00EA244B">
        <w:t>hts</w:t>
      </w:r>
      <w:bookmarkEnd w:id="0"/>
    </w:p>
    <w:p w14:paraId="43E4FB09" w14:textId="4B03DC3C" w:rsidR="007F5ED3" w:rsidRDefault="007276C7" w:rsidP="007F5ED3">
      <w:pPr>
        <w:spacing w:after="240"/>
      </w:pPr>
      <w:r>
        <w:t>Transformation Grants p</w:t>
      </w:r>
      <w:r w:rsidR="00562544">
        <w:t xml:space="preserve">rojects ending in </w:t>
      </w:r>
      <w:r w:rsidR="00C6150A">
        <w:t>Spring, Summer, or Fall 202</w:t>
      </w:r>
      <w:r>
        <w:t xml:space="preserve">1 </w:t>
      </w:r>
      <w:r w:rsidR="00A66A50">
        <w:t xml:space="preserve">took place entirely during the </w:t>
      </w:r>
      <w:r w:rsidR="00F160C2">
        <w:t xml:space="preserve">second year of the </w:t>
      </w:r>
      <w:r w:rsidR="00A66A50">
        <w:t>COVID-19 pandemic</w:t>
      </w:r>
      <w:r w:rsidR="00B03DAA">
        <w:t>.</w:t>
      </w:r>
      <w:r w:rsidR="007F5ED3" w:rsidRPr="00EA244B">
        <w:t xml:space="preserve"> </w:t>
      </w:r>
      <w:r w:rsidR="00010A9B">
        <w:t xml:space="preserve">While it may be difficult to determine the effects of a Transformation Grant project </w:t>
      </w:r>
      <w:r w:rsidR="00876460">
        <w:t>in 202</w:t>
      </w:r>
      <w:r w:rsidR="00A66A50">
        <w:t>1</w:t>
      </w:r>
      <w:r w:rsidR="00876460">
        <w:t xml:space="preserve">, we can infer the following from </w:t>
      </w:r>
      <w:r w:rsidR="00A66A50">
        <w:t xml:space="preserve">a summary of all 2021 Transformation Grant </w:t>
      </w:r>
      <w:r w:rsidR="00876460">
        <w:t>Final Report</w:t>
      </w:r>
      <w:r w:rsidR="00A66A50">
        <w:t>s</w:t>
      </w:r>
      <w:r w:rsidR="00876460">
        <w:t xml:space="preserve">: </w:t>
      </w:r>
    </w:p>
    <w:p w14:paraId="675D93FD" w14:textId="7802CDF4" w:rsidR="00134EE8" w:rsidRDefault="00134EE8" w:rsidP="00134EE8">
      <w:pPr>
        <w:pStyle w:val="ListParagraph"/>
        <w:numPr>
          <w:ilvl w:val="0"/>
          <w:numId w:val="19"/>
        </w:numPr>
        <w:spacing w:after="240"/>
      </w:pPr>
      <w:r>
        <w:t>A total of 57 reporting teams saved</w:t>
      </w:r>
      <w:r>
        <w:rPr>
          <w:b/>
        </w:rPr>
        <w:t xml:space="preserve"> </w:t>
      </w:r>
      <w:r w:rsidR="00976C0C">
        <w:rPr>
          <w:b/>
        </w:rPr>
        <w:t>9,300+</w:t>
      </w:r>
      <w:r w:rsidRPr="007F5ED3">
        <w:rPr>
          <w:b/>
        </w:rPr>
        <w:t xml:space="preserve"> students over $</w:t>
      </w:r>
      <w:r w:rsidR="002507BA">
        <w:rPr>
          <w:b/>
        </w:rPr>
        <w:t>1.2</w:t>
      </w:r>
      <w:r w:rsidRPr="007F5ED3">
        <w:rPr>
          <w:b/>
        </w:rPr>
        <w:t xml:space="preserve"> million</w:t>
      </w:r>
      <w:r>
        <w:t xml:space="preserve"> </w:t>
      </w:r>
      <w:r w:rsidRPr="00EA244B">
        <w:t>just within the time of the project, and mostly within only the final semester of instruction</w:t>
      </w:r>
      <w:r w:rsidR="00541D71">
        <w:t>.</w:t>
      </w:r>
    </w:p>
    <w:p w14:paraId="486078FD" w14:textId="6213911B" w:rsidR="00134EE8" w:rsidRDefault="00134EE8" w:rsidP="00134EE8">
      <w:pPr>
        <w:pStyle w:val="ListParagraph"/>
        <w:numPr>
          <w:ilvl w:val="0"/>
          <w:numId w:val="19"/>
        </w:numPr>
        <w:spacing w:after="240"/>
      </w:pPr>
      <w:r>
        <w:t xml:space="preserve">The </w:t>
      </w:r>
      <w:r w:rsidRPr="00541D71">
        <w:rPr>
          <w:b/>
          <w:bCs/>
        </w:rPr>
        <w:t>COVID-19 pandemic caused a set of complications</w:t>
      </w:r>
      <w:r>
        <w:t xml:space="preserve"> with the implementation and measurement of grant projects, including </w:t>
      </w:r>
      <w:r w:rsidR="00976C0C">
        <w:t>the continuation of drastic c</w:t>
      </w:r>
      <w:r>
        <w:t xml:space="preserve">hanges in instruction and learning </w:t>
      </w:r>
      <w:r w:rsidR="00976C0C">
        <w:t xml:space="preserve">after 2020’s </w:t>
      </w:r>
      <w:r>
        <w:t xml:space="preserve">emergency move to online instruction. </w:t>
      </w:r>
    </w:p>
    <w:p w14:paraId="380E4E90" w14:textId="4DEB6DD6" w:rsidR="00134EE8" w:rsidRDefault="00976C0C" w:rsidP="00134EE8">
      <w:pPr>
        <w:pStyle w:val="ListParagraph"/>
        <w:numPr>
          <w:ilvl w:val="0"/>
          <w:numId w:val="19"/>
        </w:numPr>
        <w:spacing w:after="240"/>
      </w:pPr>
      <w:r>
        <w:t xml:space="preserve">The pandemic continued to </w:t>
      </w:r>
      <w:r w:rsidR="00134EE8" w:rsidRPr="009F1A2A">
        <w:rPr>
          <w:b/>
          <w:bCs/>
        </w:rPr>
        <w:t>increase difficulty</w:t>
      </w:r>
      <w:r>
        <w:rPr>
          <w:b/>
          <w:bCs/>
        </w:rPr>
        <w:t xml:space="preserve"> on grant teams</w:t>
      </w:r>
      <w:r w:rsidR="00134EE8" w:rsidRPr="009F1A2A">
        <w:rPr>
          <w:b/>
          <w:bCs/>
        </w:rPr>
        <w:t xml:space="preserve"> in gathering qualitative</w:t>
      </w:r>
      <w:r>
        <w:rPr>
          <w:b/>
          <w:bCs/>
        </w:rPr>
        <w:t xml:space="preserve"> and quantitative</w:t>
      </w:r>
      <w:r w:rsidR="00134EE8" w:rsidRPr="009F1A2A">
        <w:rPr>
          <w:b/>
          <w:bCs/>
        </w:rPr>
        <w:t xml:space="preserve"> data</w:t>
      </w:r>
      <w:r w:rsidR="00134EE8">
        <w:t xml:space="preserve"> from students, </w:t>
      </w:r>
      <w:r>
        <w:t>exacerbated by multiple reports of lower student enrollment</w:t>
      </w:r>
      <w:r w:rsidR="00134EE8">
        <w:t>.</w:t>
      </w:r>
    </w:p>
    <w:p w14:paraId="71F32C07" w14:textId="42E202E7" w:rsidR="00076B64" w:rsidRDefault="00134EE8" w:rsidP="00F926EC">
      <w:pPr>
        <w:pStyle w:val="ListParagraph"/>
        <w:numPr>
          <w:ilvl w:val="0"/>
          <w:numId w:val="19"/>
        </w:numPr>
        <w:spacing w:after="240"/>
      </w:pPr>
      <w:r>
        <w:t>Despite these complications, T</w:t>
      </w:r>
      <w:r w:rsidR="00DC1DBA" w:rsidRPr="00B03DAA">
        <w:t>ransformation Grant project</w:t>
      </w:r>
      <w:r w:rsidR="00F54483" w:rsidRPr="00B03DAA">
        <w:t>s were</w:t>
      </w:r>
      <w:r w:rsidR="00F54483">
        <w:rPr>
          <w:b/>
          <w:bCs/>
        </w:rPr>
        <w:t xml:space="preserve"> not likely to result in negative changes</w:t>
      </w:r>
      <w:r w:rsidR="00B03DAA">
        <w:rPr>
          <w:b/>
          <w:bCs/>
        </w:rPr>
        <w:t xml:space="preserve"> to student opinions, outcomes, or retention</w:t>
      </w:r>
      <w:r w:rsidR="00F54483">
        <w:rPr>
          <w:b/>
          <w:bCs/>
        </w:rPr>
        <w:t xml:space="preserve"> during the pandemic</w:t>
      </w:r>
      <w:r w:rsidR="00EB6106">
        <w:rPr>
          <w:b/>
          <w:bCs/>
        </w:rPr>
        <w:t>:</w:t>
      </w:r>
    </w:p>
    <w:p w14:paraId="6DFEE0B9" w14:textId="398AD5A8" w:rsidR="00F54483" w:rsidRDefault="00F54483" w:rsidP="00F54483">
      <w:pPr>
        <w:pStyle w:val="ListParagraph"/>
        <w:numPr>
          <w:ilvl w:val="1"/>
          <w:numId w:val="19"/>
        </w:numPr>
        <w:spacing w:after="240"/>
      </w:pPr>
      <w:r>
        <w:t>Teams</w:t>
      </w:r>
      <w:r w:rsidR="00976C0C">
        <w:t xml:space="preserve"> </w:t>
      </w:r>
      <w:r>
        <w:t>reported</w:t>
      </w:r>
      <w:r w:rsidR="006836D4">
        <w:t xml:space="preserve"> </w:t>
      </w:r>
      <w:r>
        <w:rPr>
          <w:b/>
          <w:bCs/>
        </w:rPr>
        <w:t>positive</w:t>
      </w:r>
      <w:r w:rsidR="006836D4">
        <w:rPr>
          <w:b/>
          <w:bCs/>
        </w:rPr>
        <w:t xml:space="preserve"> (84.85%)</w:t>
      </w:r>
      <w:r>
        <w:rPr>
          <w:b/>
          <w:bCs/>
        </w:rPr>
        <w:t xml:space="preserve"> </w:t>
      </w:r>
      <w:r w:rsidR="006836D4">
        <w:rPr>
          <w:b/>
          <w:bCs/>
        </w:rPr>
        <w:t xml:space="preserve">or neutral (15.15%) </w:t>
      </w:r>
      <w:r>
        <w:rPr>
          <w:b/>
          <w:bCs/>
        </w:rPr>
        <w:t>overall student opinions</w:t>
      </w:r>
      <w:r>
        <w:t xml:space="preserve"> of the new materials</w:t>
      </w:r>
      <w:r w:rsidR="00574962">
        <w:t xml:space="preserve">. </w:t>
      </w:r>
    </w:p>
    <w:p w14:paraId="7B4F3AAC" w14:textId="2F17FBE9" w:rsidR="007F5ED3" w:rsidRDefault="007F5ED3" w:rsidP="00F54483">
      <w:pPr>
        <w:pStyle w:val="ListParagraph"/>
        <w:numPr>
          <w:ilvl w:val="1"/>
          <w:numId w:val="19"/>
        </w:numPr>
        <w:spacing w:after="240"/>
      </w:pPr>
      <w:r w:rsidRPr="00EA244B">
        <w:t xml:space="preserve">Teams reported largely </w:t>
      </w:r>
      <w:r w:rsidRPr="007F5ED3">
        <w:rPr>
          <w:b/>
        </w:rPr>
        <w:t xml:space="preserve">positive </w:t>
      </w:r>
      <w:r w:rsidR="00A42FD2">
        <w:rPr>
          <w:b/>
        </w:rPr>
        <w:t>(</w:t>
      </w:r>
      <w:r w:rsidR="00DC6BEC">
        <w:rPr>
          <w:b/>
        </w:rPr>
        <w:t>6</w:t>
      </w:r>
      <w:r w:rsidR="00B25D43">
        <w:rPr>
          <w:b/>
        </w:rPr>
        <w:t>0</w:t>
      </w:r>
      <w:r w:rsidR="00A42FD2">
        <w:rPr>
          <w:b/>
        </w:rPr>
        <w:t>.</w:t>
      </w:r>
      <w:r w:rsidR="00B25D43">
        <w:rPr>
          <w:b/>
        </w:rPr>
        <w:t>61</w:t>
      </w:r>
      <w:r w:rsidR="00A42FD2">
        <w:rPr>
          <w:b/>
        </w:rPr>
        <w:t xml:space="preserve">%) </w:t>
      </w:r>
      <w:r w:rsidRPr="007F5ED3">
        <w:rPr>
          <w:b/>
        </w:rPr>
        <w:t>or neutral</w:t>
      </w:r>
      <w:r w:rsidR="00A42FD2">
        <w:rPr>
          <w:b/>
        </w:rPr>
        <w:t xml:space="preserve"> (</w:t>
      </w:r>
      <w:r w:rsidR="001E49C2">
        <w:rPr>
          <w:b/>
        </w:rPr>
        <w:t>3</w:t>
      </w:r>
      <w:r w:rsidR="00B25D43">
        <w:rPr>
          <w:b/>
        </w:rPr>
        <w:t>3</w:t>
      </w:r>
      <w:r w:rsidR="001F50A4">
        <w:rPr>
          <w:b/>
        </w:rPr>
        <w:t>.</w:t>
      </w:r>
      <w:r w:rsidR="00B25D43">
        <w:rPr>
          <w:b/>
        </w:rPr>
        <w:t>3</w:t>
      </w:r>
      <w:r w:rsidR="001E49C2">
        <w:rPr>
          <w:b/>
        </w:rPr>
        <w:t>3</w:t>
      </w:r>
      <w:r w:rsidR="001F50A4">
        <w:rPr>
          <w:b/>
        </w:rPr>
        <w:t>%)</w:t>
      </w:r>
      <w:r w:rsidRPr="007F5ED3">
        <w:rPr>
          <w:b/>
        </w:rPr>
        <w:t xml:space="preserve"> comparative student learning outcomes </w:t>
      </w:r>
      <w:r w:rsidRPr="00EA244B">
        <w:t>compared to previous semesters, control groups, and/or instructor and departmental averages with a commercial textbook</w:t>
      </w:r>
      <w:r>
        <w:t xml:space="preserve">. </w:t>
      </w:r>
    </w:p>
    <w:p w14:paraId="6FA85D83" w14:textId="21965B27" w:rsidR="001F50A4" w:rsidRDefault="001F50A4" w:rsidP="00F54483">
      <w:pPr>
        <w:pStyle w:val="ListParagraph"/>
        <w:numPr>
          <w:ilvl w:val="1"/>
          <w:numId w:val="19"/>
        </w:numPr>
        <w:spacing w:after="240"/>
      </w:pPr>
      <w:r w:rsidRPr="00EA244B">
        <w:t xml:space="preserve">Teams reported </w:t>
      </w:r>
      <w:r w:rsidR="00E828BB">
        <w:t xml:space="preserve">largely </w:t>
      </w:r>
      <w:r w:rsidRPr="007F5ED3">
        <w:rPr>
          <w:b/>
        </w:rPr>
        <w:t xml:space="preserve">positive </w:t>
      </w:r>
      <w:r>
        <w:rPr>
          <w:b/>
        </w:rPr>
        <w:t>(</w:t>
      </w:r>
      <w:r w:rsidR="00EB6106">
        <w:rPr>
          <w:b/>
        </w:rPr>
        <w:t>4</w:t>
      </w:r>
      <w:r w:rsidR="00D25C4C">
        <w:rPr>
          <w:b/>
        </w:rPr>
        <w:t>8</w:t>
      </w:r>
      <w:r>
        <w:rPr>
          <w:b/>
        </w:rPr>
        <w:t>.</w:t>
      </w:r>
      <w:r w:rsidR="00D25C4C">
        <w:rPr>
          <w:b/>
        </w:rPr>
        <w:t>48</w:t>
      </w:r>
      <w:r>
        <w:rPr>
          <w:b/>
        </w:rPr>
        <w:t xml:space="preserve">%) </w:t>
      </w:r>
      <w:r w:rsidRPr="007F5ED3">
        <w:rPr>
          <w:b/>
        </w:rPr>
        <w:t>or neutral</w:t>
      </w:r>
      <w:r>
        <w:rPr>
          <w:b/>
        </w:rPr>
        <w:t xml:space="preserve"> (</w:t>
      </w:r>
      <w:r w:rsidR="00D25C4C">
        <w:rPr>
          <w:b/>
        </w:rPr>
        <w:t>30</w:t>
      </w:r>
      <w:r>
        <w:rPr>
          <w:b/>
        </w:rPr>
        <w:t>.</w:t>
      </w:r>
      <w:r w:rsidR="00D25C4C">
        <w:rPr>
          <w:b/>
        </w:rPr>
        <w:t>3</w:t>
      </w:r>
      <w:r>
        <w:rPr>
          <w:b/>
        </w:rPr>
        <w:t>%)</w:t>
      </w:r>
      <w:r w:rsidRPr="007F5ED3">
        <w:rPr>
          <w:b/>
        </w:rPr>
        <w:t xml:space="preserve"> comparative </w:t>
      </w:r>
      <w:r w:rsidR="00F15AAB">
        <w:rPr>
          <w:b/>
        </w:rPr>
        <w:t xml:space="preserve">course-level retention and completion rates </w:t>
      </w:r>
      <w:r w:rsidRPr="00EA244B">
        <w:t>compared to previous semesters, control groups, and/or instructor and departmental averages with a commercial textbook</w:t>
      </w:r>
      <w:r w:rsidR="00D25C4C">
        <w:t xml:space="preserve">, but multiple teams remarked that the COVID-19 pandemic’s effects confounded these measures. </w:t>
      </w:r>
      <w:r>
        <w:t xml:space="preserve"> </w:t>
      </w:r>
    </w:p>
    <w:p w14:paraId="7709A6EA" w14:textId="28FE3DD4" w:rsidR="009F1A2A" w:rsidRDefault="00044BFA" w:rsidP="00C67DFF">
      <w:pPr>
        <w:pStyle w:val="ListParagraph"/>
        <w:numPr>
          <w:ilvl w:val="0"/>
          <w:numId w:val="19"/>
        </w:numPr>
        <w:spacing w:after="240"/>
      </w:pPr>
      <w:r>
        <w:t xml:space="preserve">Students who gave positive reviews of the new materials in courses often commented on </w:t>
      </w:r>
      <w:r w:rsidR="00D25C4C">
        <w:rPr>
          <w:b/>
          <w:bCs/>
        </w:rPr>
        <w:t>cost, convenience, and re</w:t>
      </w:r>
      <w:r>
        <w:rPr>
          <w:b/>
          <w:bCs/>
        </w:rPr>
        <w:t xml:space="preserve">levance (to the course and to their overall career goals/lives) </w:t>
      </w:r>
      <w:r w:rsidRPr="000D050E">
        <w:t xml:space="preserve">as </w:t>
      </w:r>
      <w:r w:rsidR="00D25C4C" w:rsidRPr="000D050E">
        <w:t xml:space="preserve">positive </w:t>
      </w:r>
      <w:r w:rsidR="000D050E" w:rsidRPr="000D050E">
        <w:t>aspects of the new materials</w:t>
      </w:r>
      <w:r w:rsidRPr="000D050E">
        <w:t xml:space="preserve">. </w:t>
      </w:r>
    </w:p>
    <w:p w14:paraId="14F064B0" w14:textId="3915FD9A" w:rsidR="007F5940" w:rsidRDefault="007F5940" w:rsidP="00C67DFF">
      <w:pPr>
        <w:pStyle w:val="ListParagraph"/>
        <w:numPr>
          <w:ilvl w:val="0"/>
          <w:numId w:val="19"/>
        </w:numPr>
        <w:spacing w:after="240"/>
      </w:pPr>
      <w:r>
        <w:t>While many 2020 teams noticed that the pandemic affected instructors’ teaching conditions and collaboration</w:t>
      </w:r>
      <w:r w:rsidR="001040DA">
        <w:t>, t</w:t>
      </w:r>
      <w:r>
        <w:t xml:space="preserve">eams </w:t>
      </w:r>
      <w:r w:rsidR="001040DA">
        <w:t xml:space="preserve">in 2021 </w:t>
      </w:r>
      <w:r>
        <w:t>noticed</w:t>
      </w:r>
      <w:r w:rsidR="001040DA">
        <w:t xml:space="preserve"> more frequently</w:t>
      </w:r>
      <w:r>
        <w:t xml:space="preserve"> that the </w:t>
      </w:r>
      <w:r w:rsidRPr="007F5940">
        <w:rPr>
          <w:b/>
          <w:bCs/>
        </w:rPr>
        <w:t xml:space="preserve">pandemic was </w:t>
      </w:r>
      <w:r>
        <w:rPr>
          <w:b/>
          <w:bCs/>
        </w:rPr>
        <w:t xml:space="preserve">adversely affecting students’ personal and academic lives </w:t>
      </w:r>
      <w:r>
        <w:t xml:space="preserve">during the course of their projects. </w:t>
      </w:r>
    </w:p>
    <w:p w14:paraId="6FC7198A" w14:textId="77777777" w:rsidR="00384C54" w:rsidRDefault="00384C54">
      <w:pPr>
        <w:rPr>
          <w:rFonts w:asciiTheme="majorHAnsi" w:eastAsiaTheme="majorEastAsia" w:hAnsiTheme="majorHAnsi" w:cstheme="majorBidi"/>
          <w:color w:val="2E74B5" w:themeColor="accent1" w:themeShade="BF"/>
          <w:sz w:val="32"/>
          <w:szCs w:val="32"/>
        </w:rPr>
      </w:pPr>
      <w:r>
        <w:br w:type="page"/>
      </w:r>
    </w:p>
    <w:p w14:paraId="1A225041" w14:textId="681459D4" w:rsidR="00BB0165" w:rsidRPr="00EA244B" w:rsidRDefault="00BB0165" w:rsidP="00BD5BE3">
      <w:pPr>
        <w:pStyle w:val="Heading1"/>
      </w:pPr>
      <w:bookmarkStart w:id="1" w:name="_Toc71722067"/>
      <w:r w:rsidRPr="00EA244B">
        <w:lastRenderedPageBreak/>
        <w:t>Background</w:t>
      </w:r>
      <w:bookmarkEnd w:id="1"/>
    </w:p>
    <w:p w14:paraId="4C2EB6FB" w14:textId="62BCE7E1" w:rsidR="00286FF0" w:rsidRPr="00EA244B" w:rsidRDefault="00227BF0" w:rsidP="00227BF0">
      <w:r>
        <w:t>Affordable Learning Georgia</w:t>
      </w:r>
      <w:r w:rsidR="006A3FE0">
        <w:t>’s</w:t>
      </w:r>
      <w:r>
        <w:t xml:space="preserve"> (ALG) Transformation Grants are intended to pilot different approaches in </w:t>
      </w:r>
      <w:r w:rsidR="00813DD5">
        <w:t>University System of Georgia (</w:t>
      </w:r>
      <w:r>
        <w:t>USG</w:t>
      </w:r>
      <w:r w:rsidR="00813DD5">
        <w:t>)</w:t>
      </w:r>
      <w:r>
        <w:t xml:space="preserve"> courses</w:t>
      </w:r>
      <w:r w:rsidR="006A3FE0">
        <w:t xml:space="preserve"> in reducing the cost of course materials to students</w:t>
      </w:r>
      <w:r w:rsidR="5CF015F2">
        <w:t>. Approaches</w:t>
      </w:r>
      <w:r>
        <w:t xml:space="preserve"> includ</w:t>
      </w:r>
      <w:r w:rsidR="3EB4B556">
        <w:t>e</w:t>
      </w:r>
      <w:r>
        <w:t xml:space="preserve"> </w:t>
      </w:r>
      <w:r w:rsidR="006A3FE0">
        <w:t xml:space="preserve">the </w:t>
      </w:r>
      <w:r>
        <w:t>adoption, adaptation, and creation of open educational resources (OER)</w:t>
      </w:r>
      <w:r w:rsidR="006A3FE0">
        <w:t xml:space="preserve">, the adoption of </w:t>
      </w:r>
      <w:r w:rsidR="00B60D2F">
        <w:t xml:space="preserve">all-rights-reserved </w:t>
      </w:r>
      <w:r w:rsidR="006A3FE0">
        <w:t>no-cost or low-cost materials</w:t>
      </w:r>
      <w:r w:rsidR="00B60D2F">
        <w:t>, and the</w:t>
      </w:r>
      <w:r>
        <w:t xml:space="preserve"> adoption of materials available through GALILEO and USG libraries</w:t>
      </w:r>
      <w:r w:rsidR="00B60D2F">
        <w:t xml:space="preserve"> at no additional cost to students</w:t>
      </w:r>
      <w:r>
        <w:t xml:space="preserve">. </w:t>
      </w:r>
      <w:r w:rsidR="000A431F">
        <w:t xml:space="preserve">The grants support </w:t>
      </w:r>
      <w:r w:rsidR="00286FF0">
        <w:t>release time</w:t>
      </w:r>
      <w:r w:rsidR="3CEEE458">
        <w:t xml:space="preserve"> or</w:t>
      </w:r>
      <w:r w:rsidR="7FFE8D9B">
        <w:t xml:space="preserve"> salary/overload</w:t>
      </w:r>
      <w:r w:rsidR="00286FF0">
        <w:t xml:space="preserve">, </w:t>
      </w:r>
      <w:r w:rsidR="00B60D2F">
        <w:t>extra staff assistance (instructional designers, librarians, etc.)</w:t>
      </w:r>
      <w:r w:rsidR="00286FF0">
        <w:t>,</w:t>
      </w:r>
      <w:r w:rsidR="00B60D2F">
        <w:t xml:space="preserve"> materials,</w:t>
      </w:r>
      <w:r w:rsidR="00286FF0">
        <w:t xml:space="preserve"> and professional development needed for faculty to transform their use of learning materials.  </w:t>
      </w:r>
    </w:p>
    <w:p w14:paraId="385A3104" w14:textId="56D2E59E" w:rsidR="00C26694" w:rsidRPr="00EE04BD" w:rsidRDefault="000A431F" w:rsidP="00151155">
      <w:pPr>
        <w:rPr>
          <w:rStyle w:val="Emphasis"/>
          <w:i w:val="0"/>
          <w:iCs w:val="0"/>
        </w:rPr>
      </w:pPr>
      <w:r w:rsidRPr="00EA244B">
        <w:t xml:space="preserve">This report summarizes the findings of all grantees in grant rounds </w:t>
      </w:r>
      <w:r w:rsidR="007D0465">
        <w:t>ending in calendar year 20</w:t>
      </w:r>
      <w:r w:rsidR="00B60D2F">
        <w:t>2</w:t>
      </w:r>
      <w:r w:rsidR="007B76E8">
        <w:t>1</w:t>
      </w:r>
      <w:r w:rsidR="00C00FC2">
        <w:t>. Three rounds (</w:t>
      </w:r>
      <w:r w:rsidR="006801AE">
        <w:t>spanning rounds 1</w:t>
      </w:r>
      <w:r w:rsidR="00104A74">
        <w:t>6</w:t>
      </w:r>
      <w:r w:rsidR="006801AE">
        <w:t xml:space="preserve"> through 1</w:t>
      </w:r>
      <w:r w:rsidR="00104A74">
        <w:t>8</w:t>
      </w:r>
      <w:r w:rsidR="002D2D11">
        <w:t>)</w:t>
      </w:r>
      <w:r w:rsidRPr="00EA244B">
        <w:t xml:space="preserve"> </w:t>
      </w:r>
      <w:r w:rsidR="00813DD5" w:rsidRPr="00EA244B">
        <w:t>result</w:t>
      </w:r>
      <w:r w:rsidR="002D2D11">
        <w:t>ed</w:t>
      </w:r>
      <w:r w:rsidR="00813DD5" w:rsidRPr="00EA244B">
        <w:t xml:space="preserve"> in</w:t>
      </w:r>
      <w:r w:rsidR="007B76E8">
        <w:t xml:space="preserve"> 33 Transformation Grants </w:t>
      </w:r>
      <w:r w:rsidR="00813DD5" w:rsidRPr="00EA244B">
        <w:t>projects from teams of USG faculty and staff at</w:t>
      </w:r>
      <w:r w:rsidR="00B67351">
        <w:t xml:space="preserve"> USG institutions</w:t>
      </w:r>
      <w:r w:rsidR="00813DD5" w:rsidRPr="00EA244B">
        <w:t xml:space="preserve">. </w:t>
      </w:r>
      <w:r w:rsidR="00C67DFF">
        <w:t xml:space="preserve"> </w:t>
      </w:r>
      <w:r w:rsidR="001D49D3">
        <w:t>T</w:t>
      </w:r>
      <w:r w:rsidR="00B60D2F">
        <w:t>his is a significant</w:t>
      </w:r>
      <w:r w:rsidR="007B76E8">
        <w:t xml:space="preserve"> decrease</w:t>
      </w:r>
      <w:r w:rsidR="00B60D2F">
        <w:t xml:space="preserve"> from calendar year </w:t>
      </w:r>
      <w:r w:rsidR="007B76E8">
        <w:t>2020</w:t>
      </w:r>
      <w:r w:rsidR="00B60D2F">
        <w:t xml:space="preserve">, where </w:t>
      </w:r>
      <w:r w:rsidR="007B76E8">
        <w:t>over 50</w:t>
      </w:r>
      <w:r w:rsidR="00B60D2F">
        <w:t xml:space="preserve"> Transformation Grants projects </w:t>
      </w:r>
      <w:r w:rsidR="00EE04BD">
        <w:t>ended</w:t>
      </w:r>
      <w:r w:rsidR="001D49D3">
        <w:t xml:space="preserve">, but an increase from calendar year 2019, where less than 30 Transformation Grants projects ended. </w:t>
      </w:r>
    </w:p>
    <w:p w14:paraId="362AD8DC" w14:textId="69CDD08A" w:rsidR="000A431F" w:rsidRDefault="00151155" w:rsidP="00151155">
      <w:pPr>
        <w:rPr>
          <w:rStyle w:val="Hyperlink"/>
        </w:rPr>
      </w:pPr>
      <w:r>
        <w:t>All grant projects</w:t>
      </w:r>
      <w:r w:rsidR="00813DD5">
        <w:t>, along with a collection of their proposal</w:t>
      </w:r>
      <w:r w:rsidR="000D0DF8">
        <w:t>s</w:t>
      </w:r>
      <w:r w:rsidR="00813DD5">
        <w:t xml:space="preserve">, syllabi, and </w:t>
      </w:r>
      <w:r w:rsidR="487A8D02">
        <w:t>f</w:t>
      </w:r>
      <w:r w:rsidR="00813DD5">
        <w:t xml:space="preserve">inal </w:t>
      </w:r>
      <w:r w:rsidR="0EBB3103">
        <w:t>r</w:t>
      </w:r>
      <w:r w:rsidR="00813DD5">
        <w:t xml:space="preserve">eports, </w:t>
      </w:r>
      <w:r>
        <w:t xml:space="preserve">are included in the </w:t>
      </w:r>
      <w:r w:rsidR="104905F1">
        <w:t>l</w:t>
      </w:r>
      <w:r>
        <w:t>ist</w:t>
      </w:r>
      <w:r w:rsidR="000A431F">
        <w:t>s</w:t>
      </w:r>
      <w:r>
        <w:t xml:space="preserve"> of Round</w:t>
      </w:r>
      <w:r w:rsidR="000A431F">
        <w:t>s</w:t>
      </w:r>
      <w:r w:rsidR="000D0DF8">
        <w:t xml:space="preserve"> 1</w:t>
      </w:r>
      <w:r w:rsidR="00104A74">
        <w:t>6</w:t>
      </w:r>
      <w:r w:rsidR="000D0DF8">
        <w:t>-1</w:t>
      </w:r>
      <w:r w:rsidR="00104A74">
        <w:t>8</w:t>
      </w:r>
      <w:r w:rsidR="000D0DF8">
        <w:t xml:space="preserve"> </w:t>
      </w:r>
      <w:r w:rsidR="6EFB97B0">
        <w:t>g</w:t>
      </w:r>
      <w:r w:rsidR="000D0DF8">
        <w:t xml:space="preserve">rantees: </w:t>
      </w:r>
      <w:r>
        <w:br/>
      </w:r>
      <w:hyperlink r:id="rId12">
        <w:r w:rsidR="00C00FC2" w:rsidRPr="21AF918F">
          <w:rPr>
            <w:rStyle w:val="Hyperlink"/>
          </w:rPr>
          <w:t xml:space="preserve">Round </w:t>
        </w:r>
        <w:r w:rsidR="00875066" w:rsidRPr="21AF918F">
          <w:rPr>
            <w:rStyle w:val="Hyperlink"/>
          </w:rPr>
          <w:t>1</w:t>
        </w:r>
        <w:r w:rsidR="00104A74">
          <w:rPr>
            <w:rStyle w:val="Hyperlink"/>
          </w:rPr>
          <w:t>6</w:t>
        </w:r>
        <w:r w:rsidR="000A431F" w:rsidRPr="21AF918F">
          <w:rPr>
            <w:rStyle w:val="Hyperlink"/>
          </w:rPr>
          <w:t xml:space="preserve"> Grantees</w:t>
        </w:r>
        <w:r>
          <w:br/>
        </w:r>
      </w:hyperlink>
      <w:hyperlink r:id="rId13">
        <w:r w:rsidR="000A431F" w:rsidRPr="21AF918F">
          <w:rPr>
            <w:rStyle w:val="Hyperlink"/>
          </w:rPr>
          <w:t xml:space="preserve">Round </w:t>
        </w:r>
        <w:r w:rsidR="00875066" w:rsidRPr="21AF918F">
          <w:rPr>
            <w:rStyle w:val="Hyperlink"/>
          </w:rPr>
          <w:t>1</w:t>
        </w:r>
        <w:r w:rsidR="00104A74">
          <w:rPr>
            <w:rStyle w:val="Hyperlink"/>
          </w:rPr>
          <w:t>7</w:t>
        </w:r>
        <w:r w:rsidR="000A431F" w:rsidRPr="21AF918F">
          <w:rPr>
            <w:rStyle w:val="Hyperlink"/>
          </w:rPr>
          <w:t xml:space="preserve"> Grantees</w:t>
        </w:r>
      </w:hyperlink>
      <w:r w:rsidR="00407431">
        <w:t xml:space="preserve"> </w:t>
      </w:r>
      <w:r>
        <w:br/>
      </w:r>
      <w:hyperlink r:id="rId14">
        <w:r w:rsidR="00C00FC2" w:rsidRPr="21AF918F">
          <w:rPr>
            <w:rStyle w:val="Hyperlink"/>
          </w:rPr>
          <w:t xml:space="preserve">Round </w:t>
        </w:r>
        <w:r w:rsidR="00875066" w:rsidRPr="21AF918F">
          <w:rPr>
            <w:rStyle w:val="Hyperlink"/>
          </w:rPr>
          <w:t>1</w:t>
        </w:r>
        <w:r w:rsidR="00104A74">
          <w:rPr>
            <w:rStyle w:val="Hyperlink"/>
          </w:rPr>
          <w:t>8</w:t>
        </w:r>
        <w:r w:rsidR="000A431F" w:rsidRPr="21AF918F">
          <w:rPr>
            <w:rStyle w:val="Hyperlink"/>
          </w:rPr>
          <w:t xml:space="preserve"> Grantees</w:t>
        </w:r>
      </w:hyperlink>
    </w:p>
    <w:p w14:paraId="14B75E2D" w14:textId="0C53AF16" w:rsidR="00C00FC2" w:rsidRPr="00C00FC2" w:rsidRDefault="00C00FC2" w:rsidP="40BF7736">
      <w:r>
        <w:t>The summary below addresses the perceptions and efficacy of OER and no-cost/low-cost implementations to students in</w:t>
      </w:r>
      <w:r w:rsidR="00B83749">
        <w:t xml:space="preserve"> course sections affected by ALG </w:t>
      </w:r>
      <w:r>
        <w:t>Transformation Grant</w:t>
      </w:r>
      <w:r w:rsidR="00B83749">
        <w:t xml:space="preserve"> projects</w:t>
      </w:r>
      <w:r>
        <w:t xml:space="preserve">. </w:t>
      </w:r>
      <w:r w:rsidR="00B83749">
        <w:t>Continuous Improvement Grants are not in</w:t>
      </w:r>
      <w:r>
        <w:t>cluded in this re</w:t>
      </w:r>
      <w:r w:rsidR="007F5ED3">
        <w:t>port, as the goal of th</w:t>
      </w:r>
      <w:r w:rsidR="00B83749">
        <w:t>ese grants</w:t>
      </w:r>
      <w:r>
        <w:t xml:space="preserve"> is the creation and revision of open educational resources</w:t>
      </w:r>
      <w:r w:rsidR="1BE35CAB" w:rsidRPr="21AF918F">
        <w:rPr>
          <w:rFonts w:ascii="Calibri" w:eastAsia="Calibri" w:hAnsi="Calibri" w:cs="Calibri"/>
          <w:color w:val="222222"/>
          <w:sz w:val="24"/>
          <w:szCs w:val="24"/>
        </w:rPr>
        <w:t>—</w:t>
      </w:r>
      <w:r>
        <w:t>those results are visible</w:t>
      </w:r>
      <w:r w:rsidR="00B83749">
        <w:t xml:space="preserve"> in </w:t>
      </w:r>
      <w:hyperlink r:id="rId15">
        <w:proofErr w:type="spellStart"/>
        <w:r w:rsidR="00B83749" w:rsidRPr="21AF918F">
          <w:rPr>
            <w:rStyle w:val="Hyperlink"/>
          </w:rPr>
          <w:t>OpenALG</w:t>
        </w:r>
        <w:proofErr w:type="spellEnd"/>
      </w:hyperlink>
      <w:r w:rsidR="00B83749">
        <w:t xml:space="preserve"> and</w:t>
      </w:r>
      <w:r>
        <w:t xml:space="preserve"> </w:t>
      </w:r>
      <w:hyperlink r:id="rId16">
        <w:r w:rsidRPr="21AF918F">
          <w:rPr>
            <w:rStyle w:val="Hyperlink"/>
          </w:rPr>
          <w:t>GALILEO Open Learning Materials</w:t>
        </w:r>
      </w:hyperlink>
      <w:r>
        <w:t xml:space="preserve"> repositor</w:t>
      </w:r>
      <w:r w:rsidR="00B83749">
        <w:t>ies</w:t>
      </w:r>
      <w:r>
        <w:t xml:space="preserve"> as well as the</w:t>
      </w:r>
      <w:r w:rsidR="00B83749">
        <w:t xml:space="preserve"> individual </w:t>
      </w:r>
      <w:r w:rsidR="42A95484">
        <w:t>f</w:t>
      </w:r>
      <w:r>
        <w:t xml:space="preserve">inal </w:t>
      </w:r>
      <w:r w:rsidR="7AB771EF">
        <w:t>r</w:t>
      </w:r>
      <w:r>
        <w:t>eports</w:t>
      </w:r>
      <w:r w:rsidR="00B83749">
        <w:t xml:space="preserve"> for Continuous Improvement Grants</w:t>
      </w:r>
      <w:r>
        <w:t xml:space="preserve">. </w:t>
      </w:r>
    </w:p>
    <w:p w14:paraId="3405A567" w14:textId="33F51796" w:rsidR="00422582" w:rsidRDefault="00B83749" w:rsidP="40BF7736">
      <w:pPr>
        <w:spacing w:after="100" w:afterAutospacing="1"/>
      </w:pPr>
      <w:r>
        <w:t xml:space="preserve">Transformation Grants </w:t>
      </w:r>
      <w:r w:rsidR="002D663B" w:rsidRPr="40BF7736">
        <w:rPr>
          <w:color w:val="000000" w:themeColor="text1"/>
        </w:rPr>
        <w:t xml:space="preserve">project teams submitted final reports </w:t>
      </w:r>
      <w:r w:rsidR="00407431" w:rsidRPr="40BF7736">
        <w:rPr>
          <w:color w:val="000000" w:themeColor="text1"/>
        </w:rPr>
        <w:t xml:space="preserve">at the end of their final semester, </w:t>
      </w:r>
      <w:r w:rsidR="76F469A7" w:rsidRPr="40BF7736">
        <w:rPr>
          <w:color w:val="000000" w:themeColor="text1"/>
        </w:rPr>
        <w:t xml:space="preserve">during which </w:t>
      </w:r>
      <w:r w:rsidR="00407431" w:rsidRPr="40BF7736">
        <w:rPr>
          <w:color w:val="000000" w:themeColor="text1"/>
        </w:rPr>
        <w:t>all implemented materials were taught within the course</w:t>
      </w:r>
      <w:r w:rsidR="002D663B" w:rsidRPr="40BF7736">
        <w:rPr>
          <w:color w:val="000000" w:themeColor="text1"/>
        </w:rPr>
        <w:t xml:space="preserve">. </w:t>
      </w:r>
      <w:r w:rsidR="00B200B5" w:rsidRPr="40BF7736">
        <w:rPr>
          <w:color w:val="000000" w:themeColor="text1"/>
        </w:rPr>
        <w:t>Final reports include</w:t>
      </w:r>
      <w:r w:rsidR="00B200B5">
        <w:t xml:space="preserve">d </w:t>
      </w:r>
      <w:r w:rsidR="002D663B">
        <w:t>quotes</w:t>
      </w:r>
      <w:r w:rsidR="00B200B5">
        <w:t xml:space="preserve"> from students and professors, data on student performance, drop/fail/withdraw</w:t>
      </w:r>
      <w:r w:rsidR="41D9810E">
        <w:t>al</w:t>
      </w:r>
      <w:r w:rsidR="00B200B5">
        <w:t xml:space="preserve"> rates, and </w:t>
      </w:r>
      <w:r w:rsidR="00407431">
        <w:t>measures of student perceptions of course materials</w:t>
      </w:r>
      <w:r w:rsidR="00B200B5">
        <w:t>.</w:t>
      </w:r>
      <w:r w:rsidR="00407431">
        <w:t xml:space="preserve"> Including savings estimates, this data meets all four requirements of the Open Education Group’s</w:t>
      </w:r>
      <w:r w:rsidR="00CA294D">
        <w:t xml:space="preserve"> </w:t>
      </w:r>
      <w:hyperlink r:id="rId17">
        <w:r w:rsidR="00407431" w:rsidRPr="40BF7736">
          <w:rPr>
            <w:rStyle w:val="Hyperlink"/>
          </w:rPr>
          <w:t>COUP Framework</w:t>
        </w:r>
      </w:hyperlink>
      <w:r w:rsidR="00407431">
        <w:t xml:space="preserve">, measuring </w:t>
      </w:r>
      <w:r w:rsidR="00407431" w:rsidRPr="001D49D3">
        <w:rPr>
          <w:b/>
          <w:bCs/>
        </w:rPr>
        <w:t>cost, outcomes, usage, and per</w:t>
      </w:r>
      <w:r w:rsidR="007F5ED3" w:rsidRPr="001D49D3">
        <w:rPr>
          <w:b/>
          <w:bCs/>
        </w:rPr>
        <w:t>ceptions</w:t>
      </w:r>
      <w:r w:rsidR="007F5ED3">
        <w:t xml:space="preserve"> in each implementation.</w:t>
      </w:r>
    </w:p>
    <w:p w14:paraId="3BDF9D67" w14:textId="7E8E3CD9" w:rsidR="00CC0EB8" w:rsidRPr="00EA244B" w:rsidRDefault="00CC0EB8" w:rsidP="00CC0EB8">
      <w:pPr>
        <w:pStyle w:val="Heading1"/>
      </w:pPr>
      <w:bookmarkStart w:id="2" w:name="_Toc71722068"/>
      <w:r w:rsidRPr="00EA244B">
        <w:t>Savings</w:t>
      </w:r>
      <w:bookmarkEnd w:id="2"/>
    </w:p>
    <w:p w14:paraId="0CA6546F" w14:textId="520438E8" w:rsidR="00CC0EB8" w:rsidRPr="00EA244B" w:rsidRDefault="009F76E0" w:rsidP="40BF7736">
      <w:r w:rsidRPr="009F76E0">
        <w:t xml:space="preserve">During the course of their initial implementation, the projects in these three grant rounds affected an enrolled </w:t>
      </w:r>
      <w:r w:rsidR="001D49D3">
        <w:t>over 9,300 s</w:t>
      </w:r>
      <w:r w:rsidRPr="009F76E0">
        <w:t>tudents, and projects saved those students an estimated $</w:t>
      </w:r>
      <w:r w:rsidR="001D49D3">
        <w:t>1</w:t>
      </w:r>
      <w:r w:rsidRPr="009F76E0">
        <w:t>.2 million in student textbook costs in</w:t>
      </w:r>
      <w:r w:rsidR="00CC0EB8">
        <w:t xml:space="preserve"> relation to their commercial equivalent</w:t>
      </w:r>
      <w:r w:rsidR="5F472C70" w:rsidRPr="40BF7736">
        <w:rPr>
          <w:rFonts w:ascii="Calibri" w:eastAsia="Calibri" w:hAnsi="Calibri" w:cs="Calibri"/>
          <w:color w:val="222222"/>
          <w:sz w:val="24"/>
          <w:szCs w:val="24"/>
        </w:rPr>
        <w:t>—</w:t>
      </w:r>
      <w:r w:rsidR="00CC0EB8">
        <w:t xml:space="preserve">the purchase of </w:t>
      </w:r>
      <w:r w:rsidR="00BC1D79">
        <w:t xml:space="preserve">new </w:t>
      </w:r>
      <w:r w:rsidR="00CC0EB8">
        <w:t xml:space="preserve">commercial </w:t>
      </w:r>
      <w:r w:rsidR="00BC1D79">
        <w:t>materials</w:t>
      </w:r>
      <w:r w:rsidR="00CC0EB8">
        <w:t xml:space="preserve"> as previously required within the course.  </w:t>
      </w:r>
    </w:p>
    <w:p w14:paraId="11B450E5" w14:textId="0707F633" w:rsidR="00384C54" w:rsidRDefault="00CC0EB8">
      <w:pPr>
        <w:rPr>
          <w:szCs w:val="24"/>
        </w:rPr>
      </w:pPr>
      <w:r w:rsidRPr="00EA244B">
        <w:rPr>
          <w:szCs w:val="24"/>
        </w:rPr>
        <w:t>With all teams indicating that these materials or other affordable materials will be used in future semesters, a high sustainability of these student savings is anticipated over at least the next academi</w:t>
      </w:r>
      <w:r w:rsidR="00FE08C4">
        <w:rPr>
          <w:szCs w:val="24"/>
        </w:rPr>
        <w:t>c year</w:t>
      </w:r>
      <w:r w:rsidRPr="00EA244B">
        <w:rPr>
          <w:szCs w:val="24"/>
        </w:rPr>
        <w:t xml:space="preserve">. </w:t>
      </w:r>
    </w:p>
    <w:p w14:paraId="5BD5A90E" w14:textId="55C36340" w:rsidR="004C4128" w:rsidRPr="00EA244B" w:rsidRDefault="008605BE" w:rsidP="00BD5BE3">
      <w:pPr>
        <w:pStyle w:val="Heading1"/>
      </w:pPr>
      <w:bookmarkStart w:id="3" w:name="_Analysis_Challenges_and"/>
      <w:bookmarkStart w:id="4" w:name="_Grantee_Experiences"/>
      <w:bookmarkStart w:id="5" w:name="_Toc71722069"/>
      <w:bookmarkEnd w:id="3"/>
      <w:bookmarkEnd w:id="4"/>
      <w:r w:rsidRPr="00EA244B">
        <w:lastRenderedPageBreak/>
        <w:t xml:space="preserve">Grantee </w:t>
      </w:r>
      <w:r w:rsidR="002E7CF2" w:rsidRPr="00EA244B">
        <w:t>Experiences</w:t>
      </w:r>
      <w:bookmarkEnd w:id="5"/>
    </w:p>
    <w:p w14:paraId="70E3D974" w14:textId="69319F7F" w:rsidR="060F1D81" w:rsidRDefault="00075EA6" w:rsidP="008A5500">
      <w:r>
        <w:t>F</w:t>
      </w:r>
      <w:r w:rsidR="00625EF6">
        <w:t xml:space="preserve">inal reports continue to support the idea that grants for </w:t>
      </w:r>
      <w:r w:rsidR="005E753E">
        <w:t>open, no-cost, and low-cost</w:t>
      </w:r>
      <w:r w:rsidR="00625EF6">
        <w:t xml:space="preserve"> material</w:t>
      </w:r>
      <w:r w:rsidR="005E753E">
        <w:t>s</w:t>
      </w:r>
      <w:r w:rsidR="00625EF6">
        <w:t xml:space="preserve"> adoption activities are valuable tools in building </w:t>
      </w:r>
      <w:r w:rsidR="003C6490">
        <w:t>affordable and sustainable</w:t>
      </w:r>
      <w:r w:rsidR="00625EF6">
        <w:t xml:space="preserve"> learning materials practices among faculty</w:t>
      </w:r>
      <w:r w:rsidR="008C4569">
        <w:t xml:space="preserve"> with </w:t>
      </w:r>
      <w:r w:rsidR="00F14B83">
        <w:t xml:space="preserve">positive benefits for students. </w:t>
      </w:r>
      <w:r w:rsidR="00625EF6">
        <w:t xml:space="preserve">  </w:t>
      </w:r>
    </w:p>
    <w:p w14:paraId="50A8BA13" w14:textId="6A065511" w:rsidR="00980EF6" w:rsidRDefault="00615AAC" w:rsidP="00E003F3">
      <w:pPr>
        <w:pStyle w:val="Quote"/>
      </w:pPr>
      <w:r>
        <w:t>“</w:t>
      </w:r>
      <w:r w:rsidRPr="00615AAC">
        <w:t xml:space="preserve">Student's overall grades improved, there was a decrease in Ds, Fs, and </w:t>
      </w:r>
      <w:proofErr w:type="spellStart"/>
      <w:r w:rsidRPr="00615AAC">
        <w:t>Ws</w:t>
      </w:r>
      <w:proofErr w:type="spellEnd"/>
      <w:r w:rsidRPr="00615AAC">
        <w:t>, adjunct faculty felt more supported, and students were satisfied with the course.</w:t>
      </w:r>
      <w:r>
        <w:t>”</w:t>
      </w:r>
      <w:r w:rsidR="00EC1F22">
        <w:br/>
      </w:r>
      <w:r w:rsidR="006D7200" w:rsidRPr="006D7200">
        <w:t>–</w:t>
      </w:r>
      <w:r w:rsidR="006D7200">
        <w:t xml:space="preserve"> </w:t>
      </w:r>
      <w:r w:rsidR="00EC1F22">
        <w:t>Dr</w:t>
      </w:r>
      <w:r w:rsidR="008C4569">
        <w:t>. Jessica Traylor, Gordon State College</w:t>
      </w:r>
    </w:p>
    <w:p w14:paraId="49210DD9" w14:textId="18DB190C" w:rsidR="00D71FB6" w:rsidRDefault="00C76519" w:rsidP="00516214">
      <w:r>
        <w:rPr>
          <w:noProof/>
        </w:rPr>
        <w:t xml:space="preserve">Project Leads indicated in reports that the activity of redesigning </w:t>
      </w:r>
      <w:r w:rsidR="00D96218">
        <w:rPr>
          <w:noProof/>
        </w:rPr>
        <w:t>a course</w:t>
      </w:r>
      <w:r>
        <w:rPr>
          <w:noProof/>
        </w:rPr>
        <w:t xml:space="preserve"> with affordable resources</w:t>
      </w:r>
      <w:r w:rsidR="00D95BF8" w:rsidRPr="00EA244B">
        <w:rPr>
          <w:noProof/>
        </w:rPr>
        <w:t xml:space="preserve"> enhanced their teaching and learning experience</w:t>
      </w:r>
      <w:r>
        <w:rPr>
          <w:noProof/>
        </w:rPr>
        <w:t>s</w:t>
      </w:r>
      <w:r w:rsidR="00D96218">
        <w:rPr>
          <w:noProof/>
        </w:rPr>
        <w:t xml:space="preserve">, including instances of </w:t>
      </w:r>
      <w:r w:rsidR="000B4F06">
        <w:rPr>
          <w:noProof/>
        </w:rPr>
        <w:t xml:space="preserve">pedagogy that only open resources could enable (Open Pedagogy). </w:t>
      </w:r>
    </w:p>
    <w:p w14:paraId="4F6DEB68" w14:textId="29BD0FD9" w:rsidR="00FB1963" w:rsidRDefault="00FB1963" w:rsidP="00E003F3">
      <w:pPr>
        <w:pStyle w:val="Quote"/>
      </w:pPr>
      <w:r>
        <w:t>"</w:t>
      </w:r>
      <w:r w:rsidR="00144504" w:rsidRPr="00144504">
        <w:t>In regard to our instruction, these new ways of teaching truly pushed us to be better instructors. The conditions allowed us to think outside of the box on how to deliver content in a concise and clear way.</w:t>
      </w:r>
      <w:r>
        <w:t xml:space="preserve">" </w:t>
      </w:r>
      <w:r>
        <w:br/>
        <w:t xml:space="preserve">– Dr. </w:t>
      </w:r>
      <w:r w:rsidR="00144504">
        <w:t>John Me</w:t>
      </w:r>
      <w:r>
        <w:t>y</w:t>
      </w:r>
      <w:r w:rsidR="00144504">
        <w:t>ers, Clayton State University</w:t>
      </w:r>
    </w:p>
    <w:p w14:paraId="2B7F7377" w14:textId="5F117F87" w:rsidR="007256E4" w:rsidRDefault="00C914CE" w:rsidP="00A32323">
      <w:pPr>
        <w:pStyle w:val="Heading1"/>
      </w:pPr>
      <w:bookmarkStart w:id="6" w:name="_Toc71722070"/>
      <w:r>
        <w:t xml:space="preserve">COVID-19 </w:t>
      </w:r>
      <w:r w:rsidR="000E6FAC">
        <w:t>Pandemic Complications</w:t>
      </w:r>
      <w:bookmarkEnd w:id="6"/>
    </w:p>
    <w:p w14:paraId="0BDA7625" w14:textId="3923B17F" w:rsidR="00914C17" w:rsidRDefault="00AE17FB" w:rsidP="007256E4">
      <w:r>
        <w:t xml:space="preserve">While the experience of participating in a Transformation Grant </w:t>
      </w:r>
      <w:r w:rsidR="00890736">
        <w:t xml:space="preserve">project </w:t>
      </w:r>
      <w:r>
        <w:t xml:space="preserve">was overall positive to team participants, </w:t>
      </w:r>
      <w:r w:rsidR="00F14B83">
        <w:t xml:space="preserve">2021 </w:t>
      </w:r>
      <w:r w:rsidR="006149C6">
        <w:t xml:space="preserve">was also the second year of the </w:t>
      </w:r>
      <w:r w:rsidR="005D367B">
        <w:t>COVID-19 pandemic</w:t>
      </w:r>
      <w:r w:rsidR="006149C6">
        <w:t xml:space="preserve">, with </w:t>
      </w:r>
      <w:r w:rsidR="006028E6">
        <w:t>drastic shifts in the way teaching and learning happened throughout the year</w:t>
      </w:r>
      <w:r w:rsidR="00943452">
        <w:t>.</w:t>
      </w:r>
      <w:r w:rsidR="000B4F06">
        <w:t xml:space="preserve"> </w:t>
      </w:r>
    </w:p>
    <w:p w14:paraId="0E070ED1" w14:textId="4F46F840" w:rsidR="00914C17" w:rsidRDefault="0075214C" w:rsidP="00914C17">
      <w:pPr>
        <w:pStyle w:val="Quote"/>
      </w:pPr>
      <w:r>
        <w:t>"</w:t>
      </w:r>
      <w:r w:rsidR="00A87B6C" w:rsidRPr="00A87B6C">
        <w:t>While preparing this report, one must understand the teachers’ mentality and students’ acceptance to an eBook which was offered to them when pandemic was at its peak and everyone is fatigued and at end of their “normal” zone of teaching and learning.</w:t>
      </w:r>
      <w:r w:rsidR="00A87B6C">
        <w:t>”</w:t>
      </w:r>
      <w:r w:rsidR="0072351C">
        <w:br/>
      </w:r>
      <w:r>
        <w:t>–</w:t>
      </w:r>
      <w:r w:rsidR="00EE0FCC">
        <w:t xml:space="preserve"> </w:t>
      </w:r>
      <w:r>
        <w:t xml:space="preserve">Dr. </w:t>
      </w:r>
      <w:r w:rsidR="00A87B6C">
        <w:t xml:space="preserve">Antara Dutta, </w:t>
      </w:r>
      <w:r w:rsidR="00715F7B">
        <w:t>Georgia State University</w:t>
      </w:r>
    </w:p>
    <w:p w14:paraId="5AE54DDD" w14:textId="082927F8" w:rsidR="000E6FAC" w:rsidRDefault="007965A2" w:rsidP="007256E4">
      <w:r>
        <w:t>26</w:t>
      </w:r>
      <w:r w:rsidR="006008B5">
        <w:t xml:space="preserve"> out of </w:t>
      </w:r>
      <w:r>
        <w:t>33</w:t>
      </w:r>
      <w:r w:rsidR="006008B5">
        <w:t xml:space="preserve"> teams reported </w:t>
      </w:r>
      <w:r w:rsidR="007007DC">
        <w:t xml:space="preserve">encountering </w:t>
      </w:r>
      <w:r w:rsidR="006008B5">
        <w:t xml:space="preserve">substantial barriers </w:t>
      </w:r>
      <w:r w:rsidR="00207738">
        <w:t>to a successful project that were caused by</w:t>
      </w:r>
      <w:r>
        <w:t xml:space="preserve"> the long-term effects of the</w:t>
      </w:r>
      <w:r w:rsidR="00207738">
        <w:t xml:space="preserve"> COVID-19</w:t>
      </w:r>
      <w:r>
        <w:t xml:space="preserve"> pandemic</w:t>
      </w:r>
      <w:r w:rsidR="00382D70">
        <w:t>. These barriers included</w:t>
      </w:r>
      <w:r>
        <w:t xml:space="preserve"> lower enrollment, issues with research</w:t>
      </w:r>
      <w:r w:rsidR="007C23FB">
        <w:t xml:space="preserve">, adverse effects on students, and changing conditions for instructors. </w:t>
      </w:r>
    </w:p>
    <w:p w14:paraId="0F485B3A" w14:textId="097CAA46" w:rsidR="00FA392B" w:rsidRDefault="00FA392B" w:rsidP="00FA392B">
      <w:pPr>
        <w:pStyle w:val="Heading2"/>
      </w:pPr>
      <w:bookmarkStart w:id="7" w:name="_Toc71722072"/>
      <w:r>
        <w:t>Students Affected</w:t>
      </w:r>
      <w:bookmarkEnd w:id="7"/>
    </w:p>
    <w:p w14:paraId="65E078B7" w14:textId="2ACAB86F" w:rsidR="00FA392B" w:rsidRDefault="00FA67FD" w:rsidP="00FA392B">
      <w:r>
        <w:t xml:space="preserve">While teams noticed adverse effects on student success in 2020, </w:t>
      </w:r>
      <w:r w:rsidR="00FA6F64">
        <w:t>2021’s reports had a marked increase of teams noticing adverse effects on students</w:t>
      </w:r>
      <w:r w:rsidR="008976EA">
        <w:t>’ academic lives.</w:t>
      </w:r>
      <w:r w:rsidR="00FA6F64">
        <w:t xml:space="preserve"> </w:t>
      </w:r>
    </w:p>
    <w:p w14:paraId="6F83EA9B" w14:textId="16E7B338" w:rsidR="00FA392B" w:rsidRDefault="0072351C" w:rsidP="00FA392B">
      <w:pPr>
        <w:pStyle w:val="Quote"/>
      </w:pPr>
      <w:r w:rsidRPr="0072351C">
        <w:t xml:space="preserve">"During the Covid-19 pandemic, student burnout was at an observably lower threshold and resilience seemed decreased. In addition, the lack of as many face-to-face sections means fewer opportunities for organic intervention to encourage </w:t>
      </w:r>
      <w:r w:rsidRPr="0072351C">
        <w:lastRenderedPageBreak/>
        <w:t>improvement, despite our best efforts."</w:t>
      </w:r>
      <w:r w:rsidR="00FA392B">
        <w:br/>
        <w:t xml:space="preserve">– Dr. </w:t>
      </w:r>
      <w:r>
        <w:t xml:space="preserve">Lisa </w:t>
      </w:r>
      <w:proofErr w:type="spellStart"/>
      <w:r>
        <w:t>Gezon</w:t>
      </w:r>
      <w:proofErr w:type="spellEnd"/>
      <w:r>
        <w:t>, University of West Georgia</w:t>
      </w:r>
    </w:p>
    <w:p w14:paraId="1391498D" w14:textId="1E75D09B" w:rsidR="00FA392B" w:rsidRDefault="003E0CC7" w:rsidP="007256E4">
      <w:r>
        <w:t>Not only did teams notice that adverse effects on students in the classroom occurred, they also noticed that the effects o</w:t>
      </w:r>
      <w:r w:rsidR="00D71FC5">
        <w:t>f the pandemic o</w:t>
      </w:r>
      <w:r>
        <w:t xml:space="preserve">n students’ personal lives were </w:t>
      </w:r>
      <w:r w:rsidR="00D71FC5">
        <w:t xml:space="preserve">affecting students’ academic success: </w:t>
      </w:r>
    </w:p>
    <w:p w14:paraId="24BF0E03" w14:textId="7805A9E4" w:rsidR="008976EA" w:rsidRDefault="008976EA" w:rsidP="008976EA">
      <w:pPr>
        <w:pStyle w:val="Quote"/>
      </w:pPr>
      <w:r w:rsidRPr="00D942AB">
        <w:t>"</w:t>
      </w:r>
      <w:r w:rsidRPr="00ED22F8">
        <w:t xml:space="preserve">Yes, </w:t>
      </w:r>
      <w:r>
        <w:t xml:space="preserve">[we] </w:t>
      </w:r>
      <w:r w:rsidRPr="00ED22F8">
        <w:t>had students who withdrew because they themselves had complications with COVID, some who lost family members who died. Some</w:t>
      </w:r>
      <w:r>
        <w:t xml:space="preserve"> [students] </w:t>
      </w:r>
      <w:r w:rsidRPr="00ED22F8">
        <w:t>feared coming to class, so, it added many layers of stress for the students</w:t>
      </w:r>
      <w:r>
        <w:t xml:space="preserve"> [</w:t>
      </w:r>
      <w:r w:rsidRPr="00ED22F8">
        <w:t>and</w:t>
      </w:r>
      <w:r>
        <w:t>]</w:t>
      </w:r>
      <w:r w:rsidRPr="00ED22F8">
        <w:t xml:space="preserve"> myself.</w:t>
      </w:r>
      <w:r w:rsidRPr="00D942AB">
        <w:t>"</w:t>
      </w:r>
      <w:r>
        <w:t xml:space="preserve"> </w:t>
      </w:r>
      <w:r>
        <w:br/>
        <w:t>– Dr. Dennis Miller, Clayton State University</w:t>
      </w:r>
    </w:p>
    <w:p w14:paraId="3C1FE38D" w14:textId="77777777" w:rsidR="00183BC5" w:rsidRDefault="00183BC5" w:rsidP="00183BC5">
      <w:pPr>
        <w:pStyle w:val="Heading2"/>
      </w:pPr>
      <w:bookmarkStart w:id="8" w:name="_Toc71722071"/>
      <w:r>
        <w:t>Instruction Affected</w:t>
      </w:r>
      <w:bookmarkEnd w:id="8"/>
    </w:p>
    <w:p w14:paraId="2E695F68" w14:textId="143B2A10" w:rsidR="00183BC5" w:rsidRDefault="0072351C" w:rsidP="00183BC5">
      <w:r>
        <w:t>Reports about teaching conditions being affected</w:t>
      </w:r>
      <w:r w:rsidR="00183BC5">
        <w:t xml:space="preserve"> </w:t>
      </w:r>
      <w:r w:rsidR="00D41DF2">
        <w:t xml:space="preserve">adversely </w:t>
      </w:r>
      <w:r>
        <w:t>during</w:t>
      </w:r>
      <w:r w:rsidR="00183BC5">
        <w:t xml:space="preserve"> </w:t>
      </w:r>
      <w:r w:rsidR="00D41DF2">
        <w:t xml:space="preserve">the </w:t>
      </w:r>
      <w:r w:rsidR="00183BC5">
        <w:t>COVID-19</w:t>
      </w:r>
      <w:r w:rsidR="00D41DF2">
        <w:t xml:space="preserve"> pandemic</w:t>
      </w:r>
      <w:r w:rsidR="00183BC5">
        <w:t xml:space="preserve"> </w:t>
      </w:r>
      <w:r w:rsidR="007F126E">
        <w:t>continued in 2021</w:t>
      </w:r>
      <w:r w:rsidR="00183BC5">
        <w:t>, from the more obvious issues in shifting to online instruction to lesser-known issues such as sudden changes in class sizes or section enrollment</w:t>
      </w:r>
      <w:r w:rsidR="0047052B">
        <w:t>.</w:t>
      </w:r>
    </w:p>
    <w:p w14:paraId="1B7DE1B0" w14:textId="39BDDCBE" w:rsidR="00183BC5" w:rsidRDefault="00183BC5" w:rsidP="00183BC5">
      <w:pPr>
        <w:pStyle w:val="Quote"/>
      </w:pPr>
      <w:r w:rsidRPr="005536CC">
        <w:t>"</w:t>
      </w:r>
      <w:r w:rsidR="003B380C" w:rsidRPr="003B380C">
        <w:t>Some of our work was impacted by the pandemic in unavoidable ways. Our efforts to transition online and then teach using new technology and platforms in the fall kept us busier than we anticipated.</w:t>
      </w:r>
      <w:r w:rsidRPr="005536CC">
        <w:t>"</w:t>
      </w:r>
      <w:r>
        <w:t xml:space="preserve"> </w:t>
      </w:r>
      <w:r>
        <w:br/>
        <w:t xml:space="preserve">– Dr. </w:t>
      </w:r>
      <w:proofErr w:type="spellStart"/>
      <w:r w:rsidR="003B380C">
        <w:t>Houbin</w:t>
      </w:r>
      <w:proofErr w:type="spellEnd"/>
      <w:r w:rsidR="003B380C">
        <w:t xml:space="preserve"> Fang</w:t>
      </w:r>
      <w:r>
        <w:t xml:space="preserve">, </w:t>
      </w:r>
      <w:r w:rsidR="003B380C">
        <w:t>Columbus State University</w:t>
      </w:r>
    </w:p>
    <w:p w14:paraId="4A66FADC" w14:textId="34471C61" w:rsidR="00207738" w:rsidRDefault="003065F7" w:rsidP="003065F7">
      <w:pPr>
        <w:pStyle w:val="Heading2"/>
      </w:pPr>
      <w:bookmarkStart w:id="9" w:name="_Toc71722073"/>
      <w:r>
        <w:t>Collaborati</w:t>
      </w:r>
      <w:r w:rsidR="00607456">
        <w:t>ons Affected</w:t>
      </w:r>
      <w:bookmarkEnd w:id="9"/>
    </w:p>
    <w:p w14:paraId="5C4A66CE" w14:textId="7BD2E1DD" w:rsidR="00607456" w:rsidRPr="00607456" w:rsidRDefault="00724986" w:rsidP="00607456">
      <w:r>
        <w:t xml:space="preserve">While the emergency online shift to online communications happened in 2020, </w:t>
      </w:r>
      <w:r w:rsidR="00382D70">
        <w:t xml:space="preserve">many teams </w:t>
      </w:r>
      <w:r>
        <w:t xml:space="preserve">still </w:t>
      </w:r>
      <w:r w:rsidR="00382D70">
        <w:t xml:space="preserve">found themselves </w:t>
      </w:r>
      <w:r w:rsidR="006D28FE">
        <w:t>grappling with</w:t>
      </w:r>
      <w:r>
        <w:t xml:space="preserve"> online collaboration as a replacement to in-person meetings</w:t>
      </w:r>
      <w:r w:rsidR="006D28FE">
        <w:t xml:space="preserve">, hindering plans to collaborate on </w:t>
      </w:r>
      <w:r>
        <w:t>grant p</w:t>
      </w:r>
      <w:r w:rsidR="006D28FE">
        <w:t>roject</w:t>
      </w:r>
      <w:r>
        <w:t>s</w:t>
      </w:r>
      <w:r w:rsidR="006D28FE">
        <w:t>.</w:t>
      </w:r>
    </w:p>
    <w:p w14:paraId="006FFA86" w14:textId="228F5337" w:rsidR="000F1BBA" w:rsidRDefault="000804B8" w:rsidP="000F1BBA">
      <w:pPr>
        <w:pStyle w:val="Quote"/>
      </w:pPr>
      <w:r w:rsidRPr="000804B8">
        <w:t>"</w:t>
      </w:r>
      <w:r w:rsidR="00724986" w:rsidRPr="00724986">
        <w:t>The main challenges that the team faced were due to the Covid pandemic.  Since face-to-face meetings couldn’t occur, the team had to meet online and this reduced the ability to work collaboratively on the project.</w:t>
      </w:r>
      <w:r w:rsidR="00724986">
        <w:t>”</w:t>
      </w:r>
      <w:r w:rsidR="00A3431A">
        <w:br/>
      </w:r>
      <w:r w:rsidR="00FB6051">
        <w:t>–</w:t>
      </w:r>
      <w:r>
        <w:t xml:space="preserve"> </w:t>
      </w:r>
      <w:r w:rsidR="00FB6051">
        <w:t xml:space="preserve">Dr. </w:t>
      </w:r>
      <w:r w:rsidR="00724986">
        <w:t>Scott Sykes</w:t>
      </w:r>
      <w:r w:rsidR="00FB6051">
        <w:t xml:space="preserve">, </w:t>
      </w:r>
      <w:r w:rsidR="00724986">
        <w:t>University of West Georgia</w:t>
      </w:r>
      <w:r>
        <w:t xml:space="preserve"> </w:t>
      </w:r>
      <w:bookmarkStart w:id="10" w:name="_Savings"/>
      <w:bookmarkStart w:id="11" w:name="_Student_Satisfaction"/>
      <w:bookmarkEnd w:id="10"/>
      <w:bookmarkEnd w:id="11"/>
    </w:p>
    <w:p w14:paraId="645428FC" w14:textId="2E007D4D" w:rsidR="00A24FA7" w:rsidRDefault="00DF4B0C" w:rsidP="00A24FA7">
      <w:pPr>
        <w:pStyle w:val="Heading2"/>
      </w:pPr>
      <w:r>
        <w:t>Research Issues</w:t>
      </w:r>
    </w:p>
    <w:p w14:paraId="3B8AB874" w14:textId="1399B4F2" w:rsidR="00A24FA7" w:rsidRDefault="000E195B" w:rsidP="00A24FA7">
      <w:r>
        <w:t xml:space="preserve">COVID-19 and the emergency shift to online instruction caused the findings of many project teams to </w:t>
      </w:r>
      <w:r w:rsidR="002C78D3">
        <w:t xml:space="preserve">be less attributable to </w:t>
      </w:r>
      <w:r w:rsidR="000B49A4">
        <w:t>the introduction of affordable materials</w:t>
      </w:r>
      <w:r w:rsidR="00AA7855">
        <w:t>; determining whether or not the Transformation Grant affected student learning or retention was at times impossible</w:t>
      </w:r>
      <w:r w:rsidR="0064606D">
        <w:t>, while opportunities to share research dwindled due to travel and gathering restrictions</w:t>
      </w:r>
      <w:r w:rsidR="00AA7855">
        <w:t>.</w:t>
      </w:r>
    </w:p>
    <w:p w14:paraId="5EB35E6A" w14:textId="1E676771" w:rsidR="00AA7855" w:rsidRDefault="003D6787" w:rsidP="00AA7855">
      <w:pPr>
        <w:pStyle w:val="Quote"/>
      </w:pPr>
      <w:r w:rsidRPr="003D6787">
        <w:t>"</w:t>
      </w:r>
      <w:r w:rsidR="00DF4B0C" w:rsidRPr="00DF4B0C">
        <w:t>The obvious co-factor that could influence outcomes is the COVID-19 pandemic. Due to changes in course set up and scheduling challenges, not all of the team members had a chance to teach Chem 1151 during the 2020-2021 academic year.</w:t>
      </w:r>
      <w:r w:rsidRPr="003D6787">
        <w:t>"</w:t>
      </w:r>
      <w:r w:rsidR="000153DC">
        <w:br/>
      </w:r>
      <w:r>
        <w:t xml:space="preserve"> </w:t>
      </w:r>
      <w:r w:rsidR="00AA7855">
        <w:t>– Dr.</w:t>
      </w:r>
      <w:r w:rsidR="008F1081">
        <w:t xml:space="preserve"> John Meyers, Clayton State University</w:t>
      </w:r>
      <w:r w:rsidR="00AA7855">
        <w:t xml:space="preserve"> </w:t>
      </w:r>
    </w:p>
    <w:p w14:paraId="5A6ADBCC" w14:textId="1CF36ED2" w:rsidR="00AA7855" w:rsidRDefault="0064606D" w:rsidP="00867BAE">
      <w:pPr>
        <w:pStyle w:val="Heading2"/>
      </w:pPr>
      <w:r>
        <w:lastRenderedPageBreak/>
        <w:t>Lower Course Enrollment</w:t>
      </w:r>
    </w:p>
    <w:p w14:paraId="7EBD8D61" w14:textId="20AB3ED7" w:rsidR="00867BAE" w:rsidRDefault="0064606D" w:rsidP="00A24FA7">
      <w:r>
        <w:t xml:space="preserve">Multiple teams in 2021 </w:t>
      </w:r>
      <w:r w:rsidR="00C36732">
        <w:t xml:space="preserve">experienced lower course enrollments than usual, resulting in smaller sections for a pilot implementation and </w:t>
      </w:r>
      <w:r w:rsidR="0030287C">
        <w:t xml:space="preserve">sometimes a delay in the project due to a smaller amount of course sections than expected as a result of lower enrollment. </w:t>
      </w:r>
    </w:p>
    <w:p w14:paraId="3CD0AE09" w14:textId="0814D0E6" w:rsidR="001E2B71" w:rsidRDefault="008B7B71" w:rsidP="001E2B71">
      <w:pPr>
        <w:pStyle w:val="Quote"/>
      </w:pPr>
      <w:r>
        <w:t>“</w:t>
      </w:r>
      <w:r w:rsidRPr="008B7B71">
        <w:t xml:space="preserve">COVID-19 and lower enrollments may have influenced the outcomes of the project. This explains why the actual total number of students impacted by the transformation </w:t>
      </w:r>
      <w:r>
        <w:t>[in our final semester</w:t>
      </w:r>
      <w:r w:rsidR="00E52657">
        <w:t>]</w:t>
      </w:r>
      <w:r w:rsidRPr="008B7B71">
        <w:t xml:space="preserve"> is lower than the projected number of students impacted by the transformation </w:t>
      </w:r>
      <w:r w:rsidR="00E52657">
        <w:t>[per semester]</w:t>
      </w:r>
      <w:r w:rsidRPr="008B7B71">
        <w:t>.</w:t>
      </w:r>
      <w:r>
        <w:t>”</w:t>
      </w:r>
      <w:r w:rsidR="004134DD">
        <w:br/>
        <w:t xml:space="preserve">– Dr. </w:t>
      </w:r>
      <w:r>
        <w:t>Anastasia Angelopoulou, Columbus State University</w:t>
      </w:r>
    </w:p>
    <w:p w14:paraId="5950F748" w14:textId="77777777" w:rsidR="00FC2257" w:rsidRDefault="00FC2257">
      <w:pPr>
        <w:rPr>
          <w:rFonts w:asciiTheme="majorHAnsi" w:eastAsiaTheme="majorEastAsia" w:hAnsiTheme="majorHAnsi" w:cstheme="majorBidi"/>
          <w:color w:val="2E74B5" w:themeColor="accent1" w:themeShade="BF"/>
          <w:sz w:val="32"/>
          <w:szCs w:val="32"/>
        </w:rPr>
      </w:pPr>
      <w:bookmarkStart w:id="12" w:name="_Toc71722077"/>
      <w:r>
        <w:br w:type="page"/>
      </w:r>
    </w:p>
    <w:p w14:paraId="7815A23B" w14:textId="7F9A30D9" w:rsidR="002E7CF2" w:rsidRPr="00EA244B" w:rsidRDefault="002E61B5" w:rsidP="00BD5BE3">
      <w:pPr>
        <w:pStyle w:val="Heading1"/>
      </w:pPr>
      <w:r w:rsidRPr="00EA244B">
        <w:lastRenderedPageBreak/>
        <w:t>S</w:t>
      </w:r>
      <w:r w:rsidR="002E7CF2" w:rsidRPr="00EA244B">
        <w:t>tudent Satisfaction</w:t>
      </w:r>
      <w:bookmarkEnd w:id="12"/>
    </w:p>
    <w:p w14:paraId="2BA8D0CB" w14:textId="77777777" w:rsidR="002A107F" w:rsidRDefault="00E832CD" w:rsidP="00D96F13">
      <w:pPr>
        <w:rPr>
          <w:szCs w:val="24"/>
        </w:rPr>
      </w:pPr>
      <w:r w:rsidRPr="00EA244B">
        <w:rPr>
          <w:szCs w:val="24"/>
        </w:rPr>
        <w:t xml:space="preserve">Teams reported that </w:t>
      </w:r>
      <w:r w:rsidR="004F3922" w:rsidRPr="00EA244B">
        <w:rPr>
          <w:szCs w:val="24"/>
        </w:rPr>
        <w:t xml:space="preserve">students were highly satisfied with the </w:t>
      </w:r>
      <w:r w:rsidR="00DB5E2C">
        <w:rPr>
          <w:szCs w:val="24"/>
        </w:rPr>
        <w:t xml:space="preserve">new materials. Student quotes highlighted satisfaction with </w:t>
      </w:r>
      <w:r w:rsidR="002A107F">
        <w:rPr>
          <w:szCs w:val="24"/>
        </w:rPr>
        <w:t xml:space="preserve">the low or zero cost, the convenience of having and using open resources, and the relevance of the materials to what they were expected to learn. </w:t>
      </w:r>
    </w:p>
    <w:p w14:paraId="5658ACE5" w14:textId="60AE9211" w:rsidR="005909DF" w:rsidRDefault="00832A5B" w:rsidP="00D96F13">
      <w:pPr>
        <w:rPr>
          <w:noProof/>
        </w:rPr>
      </w:pPr>
      <w:r>
        <w:rPr>
          <w:szCs w:val="24"/>
        </w:rPr>
        <w:t>28 teams</w:t>
      </w:r>
      <w:r w:rsidR="00FC6DDA">
        <w:rPr>
          <w:szCs w:val="24"/>
        </w:rPr>
        <w:t xml:space="preserve"> (85%)</w:t>
      </w:r>
      <w:r>
        <w:rPr>
          <w:szCs w:val="24"/>
        </w:rPr>
        <w:t xml:space="preserve"> </w:t>
      </w:r>
      <w:r w:rsidR="00FC6DDA">
        <w:rPr>
          <w:szCs w:val="24"/>
        </w:rPr>
        <w:t>reported overall positive student perceptions, and five teams (15%) reported neutral perceptions.</w:t>
      </w:r>
      <w:r w:rsidR="005B3ED3">
        <w:rPr>
          <w:szCs w:val="24"/>
        </w:rPr>
        <w:t xml:space="preserve"> Zero teams reported negative perceptions.</w:t>
      </w:r>
      <w:r w:rsidR="00FC6DDA">
        <w:rPr>
          <w:szCs w:val="24"/>
        </w:rPr>
        <w:t xml:space="preserve"> In 2020,</w:t>
      </w:r>
      <w:r w:rsidR="008E4394">
        <w:rPr>
          <w:szCs w:val="24"/>
        </w:rPr>
        <w:t xml:space="preserve"> </w:t>
      </w:r>
      <w:r w:rsidR="005B3ED3">
        <w:rPr>
          <w:szCs w:val="24"/>
        </w:rPr>
        <w:t>100% of teams reported</w:t>
      </w:r>
      <w:r w:rsidR="008E4394">
        <w:rPr>
          <w:szCs w:val="24"/>
        </w:rPr>
        <w:t xml:space="preserve"> positive</w:t>
      </w:r>
      <w:r w:rsidR="005B3ED3">
        <w:rPr>
          <w:szCs w:val="24"/>
        </w:rPr>
        <w:t xml:space="preserve"> perceptions</w:t>
      </w:r>
      <w:r w:rsidR="008E4394">
        <w:rPr>
          <w:szCs w:val="24"/>
        </w:rPr>
        <w:t xml:space="preserve">, but </w:t>
      </w:r>
      <w:r w:rsidR="005B3ED3">
        <w:rPr>
          <w:szCs w:val="24"/>
        </w:rPr>
        <w:t>2021’s findings are</w:t>
      </w:r>
      <w:r w:rsidR="008E4394">
        <w:rPr>
          <w:noProof/>
        </w:rPr>
        <w:t xml:space="preserve"> still</w:t>
      </w:r>
      <w:r w:rsidR="00165623">
        <w:rPr>
          <w:noProof/>
        </w:rPr>
        <w:t xml:space="preserve"> a</w:t>
      </w:r>
      <w:r w:rsidR="005B3ED3">
        <w:rPr>
          <w:noProof/>
        </w:rPr>
        <w:t>n overall</w:t>
      </w:r>
      <w:r w:rsidR="008E4394">
        <w:rPr>
          <w:noProof/>
        </w:rPr>
        <w:t xml:space="preserve"> good outcome </w:t>
      </w:r>
      <w:r w:rsidR="005B3ED3">
        <w:rPr>
          <w:noProof/>
        </w:rPr>
        <w:t xml:space="preserve">for no- or low-cost materials. </w:t>
      </w:r>
      <w:r w:rsidR="008846D0">
        <w:rPr>
          <w:noProof/>
        </w:rPr>
        <w:t xml:space="preserve"> </w:t>
      </w:r>
    </w:p>
    <w:p w14:paraId="3A9F089C" w14:textId="44578456" w:rsidR="00E10AEB" w:rsidRDefault="009C7488" w:rsidP="00E003F3">
      <w:pPr>
        <w:pStyle w:val="Quote"/>
        <w:rPr>
          <w:noProof/>
        </w:rPr>
      </w:pPr>
      <w:r w:rsidRPr="009C7488">
        <w:rPr>
          <w:noProof/>
        </w:rPr>
        <w:t>“I enjoyed how we didn’t have to pay for the textbook and it was easy to find more detailed information if I was confused on something.”</w:t>
      </w:r>
      <w:r w:rsidR="00E029BC">
        <w:rPr>
          <w:noProof/>
        </w:rPr>
        <w:br/>
      </w:r>
      <w:r w:rsidR="00E10AEB" w:rsidRPr="00E10AEB">
        <w:rPr>
          <w:noProof/>
        </w:rPr>
        <w:t xml:space="preserve"> – Student of Dr. </w:t>
      </w:r>
      <w:r>
        <w:rPr>
          <w:noProof/>
        </w:rPr>
        <w:t xml:space="preserve">Christine Whitlock, </w:t>
      </w:r>
      <w:r w:rsidR="00CA113E">
        <w:rPr>
          <w:noProof/>
        </w:rPr>
        <w:t>Georgia Southern University</w:t>
      </w:r>
    </w:p>
    <w:p w14:paraId="53EE3711" w14:textId="0641E3DF" w:rsidR="00E832CD" w:rsidRDefault="00E832CD" w:rsidP="007D10B0">
      <w:pPr>
        <w:rPr>
          <w:noProof/>
        </w:rPr>
      </w:pPr>
    </w:p>
    <w:p w14:paraId="28CF9258" w14:textId="6DBB7E1A" w:rsidR="009D2C8B" w:rsidRDefault="0024309F" w:rsidP="002E409C">
      <w:pPr>
        <w:jc w:val="center"/>
        <w:rPr>
          <w:noProof/>
        </w:rPr>
      </w:pPr>
      <w:r w:rsidRPr="0024309F">
        <w:rPr>
          <w:noProof/>
        </w:rPr>
        <w:drawing>
          <wp:inline distT="0" distB="0" distL="0" distR="0" wp14:anchorId="4CE18FC6" wp14:editId="43A17B6F">
            <wp:extent cx="4440519" cy="3200400"/>
            <wp:effectExtent l="0" t="0" r="0" b="0"/>
            <wp:docPr id="1" name="Picture 1" descr="Overall Student Opinion of New Materials pie chart, showing 28 teams or 84.85% positive, 5 teams or 15.15% neutr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Overall Student Opinion of New Materials pie chart, showing 28 teams or 84.85% positive, 5 teams or 15.15% neutral."/>
                    <pic:cNvPicPr/>
                  </pic:nvPicPr>
                  <pic:blipFill>
                    <a:blip r:embed="rId18"/>
                    <a:stretch>
                      <a:fillRect/>
                    </a:stretch>
                  </pic:blipFill>
                  <pic:spPr>
                    <a:xfrm>
                      <a:off x="0" y="0"/>
                      <a:ext cx="4440519" cy="3200400"/>
                    </a:xfrm>
                    <a:prstGeom prst="rect">
                      <a:avLst/>
                    </a:prstGeom>
                  </pic:spPr>
                </pic:pic>
              </a:graphicData>
            </a:graphic>
          </wp:inline>
        </w:drawing>
      </w:r>
    </w:p>
    <w:p w14:paraId="2646DE88" w14:textId="77777777" w:rsidR="00FC2257" w:rsidRDefault="00FC2257">
      <w:pPr>
        <w:rPr>
          <w:rFonts w:asciiTheme="majorHAnsi" w:eastAsiaTheme="majorEastAsia" w:hAnsiTheme="majorHAnsi" w:cstheme="majorBidi"/>
          <w:color w:val="2E74B5" w:themeColor="accent1" w:themeShade="BF"/>
          <w:sz w:val="32"/>
          <w:szCs w:val="32"/>
        </w:rPr>
      </w:pPr>
      <w:bookmarkStart w:id="13" w:name="_Toc71722078"/>
      <w:r>
        <w:br w:type="page"/>
      </w:r>
    </w:p>
    <w:p w14:paraId="20FBC7ED" w14:textId="122B6824" w:rsidR="00A16087" w:rsidRPr="00EA244B" w:rsidRDefault="00A16087" w:rsidP="00C73D84">
      <w:pPr>
        <w:pStyle w:val="Heading1"/>
      </w:pPr>
      <w:r w:rsidRPr="00EA244B">
        <w:lastRenderedPageBreak/>
        <w:t>Student Learning Outcomes</w:t>
      </w:r>
      <w:bookmarkEnd w:id="13"/>
    </w:p>
    <w:p w14:paraId="6C1CA5D9" w14:textId="6CA3B288" w:rsidR="00E45CB0" w:rsidRDefault="00CA64C1" w:rsidP="00E5726C">
      <w:pPr>
        <w:rPr>
          <w:szCs w:val="24"/>
        </w:rPr>
      </w:pPr>
      <w:r>
        <w:rPr>
          <w:szCs w:val="24"/>
        </w:rPr>
        <w:t xml:space="preserve">Comparing </w:t>
      </w:r>
      <w:r w:rsidR="00A565D5">
        <w:rPr>
          <w:szCs w:val="24"/>
        </w:rPr>
        <w:t>student performance in a course</w:t>
      </w:r>
      <w:r w:rsidR="00EB7C4E">
        <w:rPr>
          <w:szCs w:val="24"/>
        </w:rPr>
        <w:t xml:space="preserve"> before and after an Affordable Materials Grant</w:t>
      </w:r>
      <w:r w:rsidR="00A565D5">
        <w:rPr>
          <w:szCs w:val="24"/>
        </w:rPr>
        <w:t xml:space="preserve"> always </w:t>
      </w:r>
      <w:r w:rsidR="00EB7C4E">
        <w:rPr>
          <w:szCs w:val="24"/>
        </w:rPr>
        <w:t>includes</w:t>
      </w:r>
      <w:r w:rsidR="00A565D5">
        <w:rPr>
          <w:szCs w:val="24"/>
        </w:rPr>
        <w:t xml:space="preserve"> taking multiple confounding variables into account, but t</w:t>
      </w:r>
      <w:r w:rsidR="005909DF">
        <w:rPr>
          <w:szCs w:val="24"/>
        </w:rPr>
        <w:t xml:space="preserve">he complications and barriers encountered during the COVID-19 pandemic </w:t>
      </w:r>
      <w:r w:rsidR="001F6198">
        <w:rPr>
          <w:szCs w:val="24"/>
        </w:rPr>
        <w:t>continued to make stu</w:t>
      </w:r>
      <w:r w:rsidR="00C12036">
        <w:rPr>
          <w:szCs w:val="24"/>
        </w:rPr>
        <w:t>dent learning outcomes</w:t>
      </w:r>
      <w:r w:rsidR="00C61EB3">
        <w:rPr>
          <w:szCs w:val="24"/>
        </w:rPr>
        <w:t xml:space="preserve"> </w:t>
      </w:r>
      <w:r w:rsidR="00A565D5">
        <w:rPr>
          <w:szCs w:val="24"/>
        </w:rPr>
        <w:t xml:space="preserve">even </w:t>
      </w:r>
      <w:r w:rsidR="00C61EB3">
        <w:rPr>
          <w:szCs w:val="24"/>
        </w:rPr>
        <w:t>more</w:t>
      </w:r>
      <w:r w:rsidR="00C12036">
        <w:rPr>
          <w:szCs w:val="24"/>
        </w:rPr>
        <w:t xml:space="preserve"> difficult to attribute to a grant project alone. However, we can determine from the 202</w:t>
      </w:r>
      <w:r w:rsidR="001F6198">
        <w:rPr>
          <w:szCs w:val="24"/>
        </w:rPr>
        <w:t>1</w:t>
      </w:r>
      <w:r w:rsidR="00C12036">
        <w:rPr>
          <w:szCs w:val="24"/>
        </w:rPr>
        <w:t xml:space="preserve"> Final Reports that the implementation of affordable materials</w:t>
      </w:r>
      <w:r w:rsidR="001F6198">
        <w:rPr>
          <w:szCs w:val="24"/>
        </w:rPr>
        <w:t xml:space="preserve"> di</w:t>
      </w:r>
      <w:r w:rsidR="00A565D5">
        <w:rPr>
          <w:szCs w:val="24"/>
        </w:rPr>
        <w:t xml:space="preserve">d not adversely </w:t>
      </w:r>
      <w:r w:rsidR="00F6368F">
        <w:rPr>
          <w:szCs w:val="24"/>
        </w:rPr>
        <w:t>a</w:t>
      </w:r>
      <w:r w:rsidR="00A565D5">
        <w:rPr>
          <w:szCs w:val="24"/>
        </w:rPr>
        <w:t xml:space="preserve">ffect </w:t>
      </w:r>
      <w:r w:rsidR="001F6198">
        <w:rPr>
          <w:szCs w:val="24"/>
        </w:rPr>
        <w:t>learning outcomes during the course of the project</w:t>
      </w:r>
      <w:r w:rsidR="00E45CB0">
        <w:rPr>
          <w:szCs w:val="24"/>
        </w:rPr>
        <w:t xml:space="preserve">. </w:t>
      </w:r>
    </w:p>
    <w:p w14:paraId="2D070B1D" w14:textId="671AD752" w:rsidR="004774AD" w:rsidRDefault="00800C4C" w:rsidP="00566ABF">
      <w:pPr>
        <w:rPr>
          <w:szCs w:val="24"/>
        </w:rPr>
      </w:pPr>
      <w:r>
        <w:rPr>
          <w:szCs w:val="24"/>
        </w:rPr>
        <w:t>20</w:t>
      </w:r>
      <w:r w:rsidR="00372869">
        <w:rPr>
          <w:szCs w:val="24"/>
        </w:rPr>
        <w:t xml:space="preserve"> teams</w:t>
      </w:r>
      <w:r w:rsidR="00C67DFF">
        <w:rPr>
          <w:szCs w:val="24"/>
        </w:rPr>
        <w:t xml:space="preserve"> (</w:t>
      </w:r>
      <w:r w:rsidR="00372869">
        <w:rPr>
          <w:szCs w:val="24"/>
        </w:rPr>
        <w:t>6</w:t>
      </w:r>
      <w:r w:rsidR="00FF3198">
        <w:rPr>
          <w:szCs w:val="24"/>
        </w:rPr>
        <w:t>1</w:t>
      </w:r>
      <w:r w:rsidR="00C67DFF">
        <w:rPr>
          <w:szCs w:val="24"/>
        </w:rPr>
        <w:t xml:space="preserve">%) </w:t>
      </w:r>
      <w:r w:rsidR="00275A88">
        <w:rPr>
          <w:szCs w:val="24"/>
        </w:rPr>
        <w:t>r</w:t>
      </w:r>
      <w:r w:rsidR="000D2EE2" w:rsidRPr="00EA244B">
        <w:rPr>
          <w:szCs w:val="24"/>
        </w:rPr>
        <w:t>eported</w:t>
      </w:r>
      <w:r w:rsidR="00724DEF" w:rsidRPr="00EA244B">
        <w:rPr>
          <w:szCs w:val="24"/>
        </w:rPr>
        <w:t xml:space="preserve"> </w:t>
      </w:r>
      <w:r w:rsidR="000D2EE2" w:rsidRPr="00EA244B">
        <w:rPr>
          <w:szCs w:val="24"/>
        </w:rPr>
        <w:t xml:space="preserve">positive </w:t>
      </w:r>
      <w:r w:rsidR="00724DEF" w:rsidRPr="00EA244B">
        <w:rPr>
          <w:szCs w:val="24"/>
        </w:rPr>
        <w:t>significant changes to student</w:t>
      </w:r>
      <w:r w:rsidR="007E32CC">
        <w:rPr>
          <w:szCs w:val="24"/>
        </w:rPr>
        <w:t xml:space="preserve"> achievement</w:t>
      </w:r>
      <w:r w:rsidR="00724DEF" w:rsidRPr="00EA244B">
        <w:rPr>
          <w:szCs w:val="24"/>
        </w:rPr>
        <w:t xml:space="preserve"> in comparison to control groups, previous semesters, faculty averages</w:t>
      </w:r>
      <w:r w:rsidR="000D2EE2" w:rsidRPr="00EA244B">
        <w:rPr>
          <w:szCs w:val="24"/>
        </w:rPr>
        <w:t xml:space="preserve">, and/or departmental averages, while </w:t>
      </w:r>
      <w:r w:rsidR="00A64B16">
        <w:rPr>
          <w:szCs w:val="24"/>
        </w:rPr>
        <w:t>1</w:t>
      </w:r>
      <w:r w:rsidR="00275A88">
        <w:rPr>
          <w:szCs w:val="24"/>
        </w:rPr>
        <w:t>1</w:t>
      </w:r>
      <w:r w:rsidR="00C73D84" w:rsidRPr="00EA244B">
        <w:rPr>
          <w:szCs w:val="24"/>
        </w:rPr>
        <w:t xml:space="preserve"> teams (</w:t>
      </w:r>
      <w:r w:rsidR="00A64B16">
        <w:rPr>
          <w:szCs w:val="24"/>
        </w:rPr>
        <w:t>3</w:t>
      </w:r>
      <w:r w:rsidR="00275A88">
        <w:rPr>
          <w:szCs w:val="24"/>
        </w:rPr>
        <w:t>3</w:t>
      </w:r>
      <w:r w:rsidR="00C73D84" w:rsidRPr="00EA244B">
        <w:rPr>
          <w:szCs w:val="24"/>
        </w:rPr>
        <w:t>%)</w:t>
      </w:r>
      <w:r w:rsidR="000D2EE2" w:rsidRPr="00EA244B">
        <w:rPr>
          <w:szCs w:val="24"/>
        </w:rPr>
        <w:t xml:space="preserve"> saw no significant changes to outcomes</w:t>
      </w:r>
      <w:r w:rsidR="00F6368F">
        <w:rPr>
          <w:szCs w:val="24"/>
        </w:rPr>
        <w:t xml:space="preserve"> with the new affordable materials</w:t>
      </w:r>
      <w:r w:rsidR="000D2EE2" w:rsidRPr="00EA244B">
        <w:rPr>
          <w:szCs w:val="24"/>
        </w:rPr>
        <w:t xml:space="preserve">. </w:t>
      </w:r>
      <w:r w:rsidR="00A64B16">
        <w:rPr>
          <w:szCs w:val="24"/>
        </w:rPr>
        <w:t>Only two teams (</w:t>
      </w:r>
      <w:r w:rsidR="00275A88">
        <w:rPr>
          <w:szCs w:val="24"/>
        </w:rPr>
        <w:t>6</w:t>
      </w:r>
      <w:r w:rsidR="00A64B16">
        <w:rPr>
          <w:szCs w:val="24"/>
        </w:rPr>
        <w:t xml:space="preserve">%) saw negative changes. </w:t>
      </w:r>
      <w:r w:rsidR="000D2EE2" w:rsidRPr="00EA244B">
        <w:rPr>
          <w:szCs w:val="24"/>
        </w:rPr>
        <w:t xml:space="preserve">This is a </w:t>
      </w:r>
      <w:r w:rsidR="00C67DFF">
        <w:rPr>
          <w:szCs w:val="24"/>
        </w:rPr>
        <w:t xml:space="preserve">combined </w:t>
      </w:r>
      <w:r w:rsidR="00C61EB3">
        <w:rPr>
          <w:szCs w:val="24"/>
        </w:rPr>
        <w:t>9</w:t>
      </w:r>
      <w:r w:rsidR="00566ABF">
        <w:rPr>
          <w:szCs w:val="24"/>
        </w:rPr>
        <w:t>4</w:t>
      </w:r>
      <w:r w:rsidR="000D2EE2" w:rsidRPr="00EA244B">
        <w:rPr>
          <w:szCs w:val="24"/>
        </w:rPr>
        <w:t>% of teams who experienced either a significantly positive or neutral effect on learning outcomes w</w:t>
      </w:r>
      <w:r w:rsidR="00C73D84" w:rsidRPr="00EA244B">
        <w:rPr>
          <w:szCs w:val="24"/>
        </w:rPr>
        <w:t xml:space="preserve">hile using </w:t>
      </w:r>
      <w:r w:rsidR="00552848">
        <w:rPr>
          <w:szCs w:val="24"/>
        </w:rPr>
        <w:t xml:space="preserve">free and/or </w:t>
      </w:r>
      <w:r w:rsidR="00C73D84" w:rsidRPr="00EA244B">
        <w:rPr>
          <w:szCs w:val="24"/>
        </w:rPr>
        <w:t>affordable materials</w:t>
      </w:r>
      <w:r w:rsidR="00566ABF">
        <w:rPr>
          <w:szCs w:val="24"/>
        </w:rPr>
        <w:t>, which is very similar to last year’s reports.</w:t>
      </w:r>
    </w:p>
    <w:p w14:paraId="00017832" w14:textId="616D653E" w:rsidR="008937A7" w:rsidRDefault="00F1071A" w:rsidP="008937A7">
      <w:pPr>
        <w:pStyle w:val="Quote"/>
      </w:pPr>
      <w:r>
        <w:t xml:space="preserve">“Transformative impacts on students were that students were very positive about the no-cost learning materials.  They felt the materials for the course were current, relevant and at the level that a textbook would achieve.” </w:t>
      </w:r>
      <w:r w:rsidR="006F65A5">
        <w:br/>
      </w:r>
      <w:r w:rsidR="00A25526">
        <w:t xml:space="preserve">– Dr. </w:t>
      </w:r>
      <w:r>
        <w:t xml:space="preserve">Rebecca Rutherfoord, </w:t>
      </w:r>
      <w:r w:rsidR="004A0154">
        <w:t>Kennesaw State University</w:t>
      </w:r>
    </w:p>
    <w:p w14:paraId="00CAAA38" w14:textId="02D5C9FB" w:rsidR="00C61EB3" w:rsidRDefault="00C61EB3" w:rsidP="00E003F3">
      <w:pPr>
        <w:ind w:left="-1440" w:right="-1440"/>
        <w:jc w:val="center"/>
        <w:rPr>
          <w:noProof/>
          <w:szCs w:val="24"/>
        </w:rPr>
      </w:pPr>
    </w:p>
    <w:p w14:paraId="5EB25F53" w14:textId="5690DCC0" w:rsidR="003D6639" w:rsidRDefault="002E3E72" w:rsidP="00E003F3">
      <w:pPr>
        <w:ind w:left="-1440" w:right="-1440"/>
        <w:jc w:val="center"/>
        <w:rPr>
          <w:noProof/>
          <w:szCs w:val="24"/>
        </w:rPr>
      </w:pPr>
      <w:r w:rsidRPr="002E3E72">
        <w:rPr>
          <w:noProof/>
          <w:szCs w:val="24"/>
        </w:rPr>
        <w:drawing>
          <wp:inline distT="0" distB="0" distL="0" distR="0" wp14:anchorId="0E71A119" wp14:editId="0E0C7A83">
            <wp:extent cx="4205496" cy="3200400"/>
            <wp:effectExtent l="0" t="0" r="5080" b="0"/>
            <wp:docPr id="5" name="Picture 5" descr="Overall Change in Learning Outcomes pie chart, showing 20 teams or 60.61% positive, 11 teams or 33.33% neutral, 2 teams or 6.06% negativ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Overall Change in Learning Outcomes pie chart, showing 20 teams or 60.61% positive, 11 teams or 33.33% neutral, 2 teams or 6.06% negative."/>
                    <pic:cNvPicPr/>
                  </pic:nvPicPr>
                  <pic:blipFill>
                    <a:blip r:embed="rId19"/>
                    <a:stretch>
                      <a:fillRect/>
                    </a:stretch>
                  </pic:blipFill>
                  <pic:spPr>
                    <a:xfrm>
                      <a:off x="0" y="0"/>
                      <a:ext cx="4205496" cy="3200400"/>
                    </a:xfrm>
                    <a:prstGeom prst="rect">
                      <a:avLst/>
                    </a:prstGeom>
                  </pic:spPr>
                </pic:pic>
              </a:graphicData>
            </a:graphic>
          </wp:inline>
        </w:drawing>
      </w:r>
    </w:p>
    <w:p w14:paraId="34CF301F" w14:textId="3072B5B8" w:rsidR="00C61EB3" w:rsidRDefault="00C61EB3" w:rsidP="00E003F3">
      <w:pPr>
        <w:ind w:left="-1440" w:right="-1440"/>
        <w:jc w:val="center"/>
        <w:rPr>
          <w:noProof/>
          <w:szCs w:val="24"/>
        </w:rPr>
      </w:pPr>
    </w:p>
    <w:p w14:paraId="0630A964" w14:textId="5397AAE7" w:rsidR="00A16087" w:rsidRPr="00EA244B" w:rsidRDefault="00C67DFF" w:rsidP="00C73D84">
      <w:pPr>
        <w:pStyle w:val="Heading1"/>
      </w:pPr>
      <w:bookmarkStart w:id="14" w:name="_Drop/Fail/Withdraw_(DFW)_Delta"/>
      <w:bookmarkStart w:id="15" w:name="_Toc71722079"/>
      <w:bookmarkEnd w:id="14"/>
      <w:r>
        <w:lastRenderedPageBreak/>
        <w:t>Course-Level Retention</w:t>
      </w:r>
      <w:bookmarkEnd w:id="15"/>
      <w:r w:rsidR="008157F8">
        <w:t xml:space="preserve"> Rates</w:t>
      </w:r>
    </w:p>
    <w:p w14:paraId="636DB965" w14:textId="60F79C7C" w:rsidR="001F6FD8" w:rsidRDefault="00DF3291" w:rsidP="001F6FD8">
      <w:pPr>
        <w:rPr>
          <w:szCs w:val="24"/>
        </w:rPr>
      </w:pPr>
      <w:r>
        <w:rPr>
          <w:szCs w:val="24"/>
        </w:rPr>
        <w:t>C</w:t>
      </w:r>
      <w:r w:rsidR="001F6FD8">
        <w:rPr>
          <w:szCs w:val="24"/>
        </w:rPr>
        <w:t>ompari</w:t>
      </w:r>
      <w:r w:rsidR="00361EDA">
        <w:rPr>
          <w:szCs w:val="24"/>
        </w:rPr>
        <w:t>sons of</w:t>
      </w:r>
      <w:r w:rsidR="001F6FD8">
        <w:rPr>
          <w:szCs w:val="24"/>
        </w:rPr>
        <w:t xml:space="preserve"> course-level retention </w:t>
      </w:r>
      <w:r w:rsidR="00361EDA">
        <w:rPr>
          <w:szCs w:val="24"/>
        </w:rPr>
        <w:t xml:space="preserve">rates </w:t>
      </w:r>
      <w:r w:rsidR="001F6FD8">
        <w:rPr>
          <w:szCs w:val="24"/>
        </w:rPr>
        <w:t xml:space="preserve">during the COVID-19 pandemic </w:t>
      </w:r>
      <w:r w:rsidR="00F90E0A">
        <w:rPr>
          <w:szCs w:val="24"/>
        </w:rPr>
        <w:t>continued to be</w:t>
      </w:r>
      <w:r w:rsidR="00354B1E">
        <w:rPr>
          <w:szCs w:val="24"/>
        </w:rPr>
        <w:t xml:space="preserve"> </w:t>
      </w:r>
      <w:r>
        <w:rPr>
          <w:szCs w:val="24"/>
        </w:rPr>
        <w:t>almost</w:t>
      </w:r>
      <w:r w:rsidR="00361EDA">
        <w:rPr>
          <w:szCs w:val="24"/>
        </w:rPr>
        <w:t xml:space="preserve"> impossible to</w:t>
      </w:r>
      <w:r w:rsidR="001F6FD8">
        <w:rPr>
          <w:szCs w:val="24"/>
        </w:rPr>
        <w:t xml:space="preserve"> attribute to a grant project alone. However, we can determine from the 202</w:t>
      </w:r>
      <w:r w:rsidR="00F90E0A">
        <w:rPr>
          <w:szCs w:val="24"/>
        </w:rPr>
        <w:t>1</w:t>
      </w:r>
      <w:r w:rsidR="001F6FD8">
        <w:rPr>
          <w:szCs w:val="24"/>
        </w:rPr>
        <w:t xml:space="preserve"> Final Reports that the implementation of affordable materials largely did not adversely affect</w:t>
      </w:r>
      <w:r w:rsidR="00361EDA">
        <w:rPr>
          <w:szCs w:val="24"/>
        </w:rPr>
        <w:t xml:space="preserve"> retention rates</w:t>
      </w:r>
      <w:r w:rsidR="00CE7B69">
        <w:rPr>
          <w:szCs w:val="24"/>
        </w:rPr>
        <w:t xml:space="preserve"> in</w:t>
      </w:r>
      <w:r w:rsidR="001F6FD8">
        <w:rPr>
          <w:szCs w:val="24"/>
        </w:rPr>
        <w:t xml:space="preserve"> the shift to online instruction during COVID-19.  </w:t>
      </w:r>
    </w:p>
    <w:p w14:paraId="1ABDA608" w14:textId="0FEF35E5" w:rsidR="002949F5" w:rsidRDefault="00FF3198" w:rsidP="003C4A73">
      <w:pPr>
        <w:rPr>
          <w:szCs w:val="24"/>
        </w:rPr>
      </w:pPr>
      <w:r>
        <w:rPr>
          <w:szCs w:val="24"/>
        </w:rPr>
        <w:t>16</w:t>
      </w:r>
      <w:r w:rsidR="00CD08B1">
        <w:rPr>
          <w:szCs w:val="24"/>
        </w:rPr>
        <w:t xml:space="preserve"> teams (</w:t>
      </w:r>
      <w:r w:rsidR="00032ACE">
        <w:rPr>
          <w:szCs w:val="24"/>
        </w:rPr>
        <w:t>4</w:t>
      </w:r>
      <w:r>
        <w:rPr>
          <w:szCs w:val="24"/>
        </w:rPr>
        <w:t>8</w:t>
      </w:r>
      <w:r w:rsidR="003C4A73">
        <w:rPr>
          <w:szCs w:val="24"/>
        </w:rPr>
        <w:t>.5</w:t>
      </w:r>
      <w:r w:rsidR="002949F5" w:rsidRPr="00EA244B">
        <w:rPr>
          <w:szCs w:val="24"/>
        </w:rPr>
        <w:t>%</w:t>
      </w:r>
      <w:r w:rsidR="00CD08B1">
        <w:rPr>
          <w:szCs w:val="24"/>
        </w:rPr>
        <w:t>)</w:t>
      </w:r>
      <w:r w:rsidR="002949F5" w:rsidRPr="00EA244B">
        <w:rPr>
          <w:szCs w:val="24"/>
        </w:rPr>
        <w:t xml:space="preserve"> repor</w:t>
      </w:r>
      <w:r w:rsidR="00DF1001" w:rsidRPr="00EA244B">
        <w:rPr>
          <w:szCs w:val="24"/>
        </w:rPr>
        <w:t>ted</w:t>
      </w:r>
      <w:r w:rsidR="00CD08B1">
        <w:rPr>
          <w:szCs w:val="24"/>
        </w:rPr>
        <w:t xml:space="preserve"> </w:t>
      </w:r>
      <w:r w:rsidR="002E7869">
        <w:rPr>
          <w:szCs w:val="24"/>
        </w:rPr>
        <w:t xml:space="preserve">positive significant changes, </w:t>
      </w:r>
      <w:r w:rsidR="00032ACE">
        <w:rPr>
          <w:szCs w:val="24"/>
        </w:rPr>
        <w:t xml:space="preserve">20 </w:t>
      </w:r>
      <w:r w:rsidR="002E7869">
        <w:rPr>
          <w:szCs w:val="24"/>
        </w:rPr>
        <w:t>teams (</w:t>
      </w:r>
      <w:r>
        <w:rPr>
          <w:szCs w:val="24"/>
        </w:rPr>
        <w:t>30</w:t>
      </w:r>
      <w:r w:rsidR="00CD08B1">
        <w:rPr>
          <w:szCs w:val="24"/>
        </w:rPr>
        <w:t xml:space="preserve">%) </w:t>
      </w:r>
      <w:r w:rsidR="00DF1001" w:rsidRPr="00EA244B">
        <w:rPr>
          <w:szCs w:val="24"/>
        </w:rPr>
        <w:t>reported</w:t>
      </w:r>
      <w:r w:rsidR="002949F5" w:rsidRPr="00EA244B">
        <w:rPr>
          <w:szCs w:val="24"/>
        </w:rPr>
        <w:t xml:space="preserve"> no changes, and </w:t>
      </w:r>
      <w:r w:rsidR="00032ACE">
        <w:rPr>
          <w:szCs w:val="24"/>
        </w:rPr>
        <w:t>7</w:t>
      </w:r>
      <w:r w:rsidR="002E7869">
        <w:rPr>
          <w:szCs w:val="24"/>
        </w:rPr>
        <w:t xml:space="preserve"> teams (</w:t>
      </w:r>
      <w:r>
        <w:rPr>
          <w:szCs w:val="24"/>
        </w:rPr>
        <w:t>21</w:t>
      </w:r>
      <w:r w:rsidR="00CD08B1">
        <w:rPr>
          <w:szCs w:val="24"/>
        </w:rPr>
        <w:t>%)</w:t>
      </w:r>
      <w:r w:rsidR="002949F5" w:rsidRPr="00EA244B">
        <w:rPr>
          <w:szCs w:val="24"/>
        </w:rPr>
        <w:t xml:space="preserve"> report</w:t>
      </w:r>
      <w:r w:rsidR="00DF1001" w:rsidRPr="00EA244B">
        <w:rPr>
          <w:szCs w:val="24"/>
        </w:rPr>
        <w:t>ed</w:t>
      </w:r>
      <w:r w:rsidR="002949F5" w:rsidRPr="00EA244B">
        <w:rPr>
          <w:szCs w:val="24"/>
        </w:rPr>
        <w:t xml:space="preserve"> negative changes</w:t>
      </w:r>
      <w:r w:rsidR="003C4A73">
        <w:rPr>
          <w:szCs w:val="24"/>
        </w:rPr>
        <w:t xml:space="preserve">, which is similar to last year’s reports. </w:t>
      </w:r>
      <w:r w:rsidR="002949F5" w:rsidRPr="00EA244B">
        <w:rPr>
          <w:szCs w:val="24"/>
        </w:rPr>
        <w:t xml:space="preserve"> </w:t>
      </w:r>
    </w:p>
    <w:p w14:paraId="61363ED5" w14:textId="44308181" w:rsidR="00A56D7F" w:rsidRDefault="00D41AA2" w:rsidP="00E003F3">
      <w:pPr>
        <w:pStyle w:val="Quote"/>
      </w:pPr>
      <w:r w:rsidRPr="00D41AA2">
        <w:t>"</w:t>
      </w:r>
      <w:r w:rsidR="00476583" w:rsidRPr="00476583">
        <w:t>One consideration is the impact of Covid during the grant period may have also impacted outcomes, with higher than usual W, WF, F grades overall, but this does not appear significantly present in this data.</w:t>
      </w:r>
      <w:r w:rsidR="00476583">
        <w:t>”</w:t>
      </w:r>
      <w:r>
        <w:br/>
        <w:t xml:space="preserve">– Dr. </w:t>
      </w:r>
      <w:r w:rsidR="00476583">
        <w:t>Daniel Farr,</w:t>
      </w:r>
      <w:r>
        <w:t xml:space="preserve"> Kennesaw State University</w:t>
      </w:r>
    </w:p>
    <w:p w14:paraId="2606B835" w14:textId="4375981C" w:rsidR="00710BA0" w:rsidRDefault="00710BA0" w:rsidP="00710BA0">
      <w:pPr>
        <w:jc w:val="center"/>
      </w:pPr>
      <w:bookmarkStart w:id="16" w:name="_Lessons_Learned"/>
      <w:bookmarkEnd w:id="16"/>
    </w:p>
    <w:p w14:paraId="1F6BD213" w14:textId="12E4175A" w:rsidR="00710BA0" w:rsidRDefault="008157F8" w:rsidP="008157F8">
      <w:pPr>
        <w:jc w:val="center"/>
      </w:pPr>
      <w:r w:rsidRPr="008157F8">
        <w:rPr>
          <w:noProof/>
        </w:rPr>
        <w:drawing>
          <wp:inline distT="0" distB="0" distL="0" distR="0" wp14:anchorId="53608CE5" wp14:editId="2BC5239B">
            <wp:extent cx="4087289" cy="3200400"/>
            <wp:effectExtent l="0" t="0" r="8890" b="0"/>
            <wp:docPr id="6" name="Picture 6" descr="Overall Change in Course Retention Rates pie chart, showing 16 teams or 48.48% positive, 10 teams or 30.3% neutral, 7 teams or 21.21% negativ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Overall Change in Course Retention Rates pie chart, showing 16 teams or 48.48% positive, 10 teams or 30.3% neutral, 7 teams or 21.21% negative."/>
                    <pic:cNvPicPr/>
                  </pic:nvPicPr>
                  <pic:blipFill>
                    <a:blip r:embed="rId20"/>
                    <a:stretch>
                      <a:fillRect/>
                    </a:stretch>
                  </pic:blipFill>
                  <pic:spPr>
                    <a:xfrm>
                      <a:off x="0" y="0"/>
                      <a:ext cx="4087289" cy="3200400"/>
                    </a:xfrm>
                    <a:prstGeom prst="rect">
                      <a:avLst/>
                    </a:prstGeom>
                  </pic:spPr>
                </pic:pic>
              </a:graphicData>
            </a:graphic>
          </wp:inline>
        </w:drawing>
      </w:r>
    </w:p>
    <w:p w14:paraId="1B4A7047" w14:textId="77777777" w:rsidR="00525207" w:rsidRDefault="00525207">
      <w:pPr>
        <w:rPr>
          <w:rFonts w:asciiTheme="majorHAnsi" w:eastAsiaTheme="majorEastAsia" w:hAnsiTheme="majorHAnsi" w:cstheme="majorBidi"/>
          <w:color w:val="2E74B5" w:themeColor="accent1" w:themeShade="BF"/>
          <w:sz w:val="32"/>
          <w:szCs w:val="32"/>
        </w:rPr>
      </w:pPr>
      <w:bookmarkStart w:id="17" w:name="_Toc71722080"/>
      <w:r>
        <w:br w:type="page"/>
      </w:r>
    </w:p>
    <w:p w14:paraId="23718CB3" w14:textId="6082F6FF" w:rsidR="004F5002" w:rsidRPr="00EA244B" w:rsidRDefault="004F5002" w:rsidP="00783866">
      <w:pPr>
        <w:pStyle w:val="Heading1"/>
      </w:pPr>
      <w:r w:rsidRPr="00EA244B">
        <w:lastRenderedPageBreak/>
        <w:t>Lessons Learned</w:t>
      </w:r>
      <w:bookmarkEnd w:id="17"/>
    </w:p>
    <w:p w14:paraId="562F7143" w14:textId="1FB9549B" w:rsidR="004F5002" w:rsidRPr="00EA244B" w:rsidRDefault="00F61AD8" w:rsidP="004F5002">
      <w:pPr>
        <w:rPr>
          <w:szCs w:val="24"/>
        </w:rPr>
      </w:pPr>
      <w:r w:rsidRPr="00EA244B">
        <w:rPr>
          <w:szCs w:val="24"/>
        </w:rPr>
        <w:t xml:space="preserve">Each </w:t>
      </w:r>
      <w:r w:rsidR="00F96A1F">
        <w:rPr>
          <w:szCs w:val="24"/>
        </w:rPr>
        <w:t>f</w:t>
      </w:r>
      <w:r w:rsidR="004F5002" w:rsidRPr="00EA244B">
        <w:rPr>
          <w:szCs w:val="24"/>
        </w:rPr>
        <w:t xml:space="preserve">inal </w:t>
      </w:r>
      <w:r w:rsidR="002E409C">
        <w:rPr>
          <w:szCs w:val="24"/>
        </w:rPr>
        <w:t>r</w:t>
      </w:r>
      <w:r w:rsidR="004F5002" w:rsidRPr="00EA244B">
        <w:rPr>
          <w:szCs w:val="24"/>
        </w:rPr>
        <w:t>eport</w:t>
      </w:r>
      <w:r w:rsidRPr="00EA244B">
        <w:rPr>
          <w:szCs w:val="24"/>
        </w:rPr>
        <w:t xml:space="preserve"> contains a section within the narrative document for </w:t>
      </w:r>
      <w:r w:rsidR="00184F43">
        <w:rPr>
          <w:szCs w:val="24"/>
        </w:rPr>
        <w:t>l</w:t>
      </w:r>
      <w:r w:rsidRPr="00EA244B">
        <w:rPr>
          <w:szCs w:val="24"/>
        </w:rPr>
        <w:t xml:space="preserve">essons </w:t>
      </w:r>
      <w:r w:rsidR="00184F43">
        <w:rPr>
          <w:szCs w:val="24"/>
        </w:rPr>
        <w:t>l</w:t>
      </w:r>
      <w:r w:rsidRPr="00EA244B">
        <w:rPr>
          <w:szCs w:val="24"/>
        </w:rPr>
        <w:t>earned. From the</w:t>
      </w:r>
      <w:r w:rsidR="00356A5F">
        <w:rPr>
          <w:szCs w:val="24"/>
        </w:rPr>
        <w:t xml:space="preserve">se </w:t>
      </w:r>
      <w:r w:rsidR="00B34C56">
        <w:rPr>
          <w:szCs w:val="24"/>
        </w:rPr>
        <w:t>2021</w:t>
      </w:r>
      <w:r w:rsidRPr="00EA244B">
        <w:rPr>
          <w:szCs w:val="24"/>
        </w:rPr>
        <w:t xml:space="preserve"> reports,</w:t>
      </w:r>
      <w:r w:rsidR="004F5002" w:rsidRPr="00EA244B">
        <w:rPr>
          <w:szCs w:val="24"/>
        </w:rPr>
        <w:t xml:space="preserve"> Affordable Learning Georgia </w:t>
      </w:r>
      <w:r w:rsidR="00DF1001" w:rsidRPr="00EA244B">
        <w:rPr>
          <w:szCs w:val="24"/>
        </w:rPr>
        <w:t xml:space="preserve">has reached the following </w:t>
      </w:r>
      <w:r w:rsidRPr="00EA244B">
        <w:rPr>
          <w:szCs w:val="24"/>
        </w:rPr>
        <w:t xml:space="preserve">overall </w:t>
      </w:r>
      <w:r w:rsidR="00DF1001" w:rsidRPr="00EA244B">
        <w:rPr>
          <w:szCs w:val="24"/>
        </w:rPr>
        <w:t>conclusions</w:t>
      </w:r>
      <w:r w:rsidR="004F5002" w:rsidRPr="00EA244B">
        <w:rPr>
          <w:szCs w:val="24"/>
        </w:rPr>
        <w:t xml:space="preserve"> when implementing open, no-cost, or low-cost materials to replace a commercial textbook in a course</w:t>
      </w:r>
      <w:r w:rsidR="0008144E">
        <w:rPr>
          <w:szCs w:val="24"/>
        </w:rPr>
        <w:t>.</w:t>
      </w:r>
    </w:p>
    <w:p w14:paraId="0C52263C" w14:textId="77777777" w:rsidR="00B26536" w:rsidRDefault="00693A3F" w:rsidP="00943F52">
      <w:pPr>
        <w:rPr>
          <w:szCs w:val="24"/>
        </w:rPr>
      </w:pPr>
      <w:r>
        <w:rPr>
          <w:b/>
          <w:szCs w:val="24"/>
        </w:rPr>
        <w:t xml:space="preserve">As with previous years, </w:t>
      </w:r>
      <w:r w:rsidR="002E7869" w:rsidRPr="00943F52">
        <w:rPr>
          <w:b/>
          <w:szCs w:val="24"/>
        </w:rPr>
        <w:t>OER implementation takes</w:t>
      </w:r>
      <w:r w:rsidR="003C3212" w:rsidRPr="00943F52">
        <w:rPr>
          <w:b/>
          <w:szCs w:val="24"/>
        </w:rPr>
        <w:t xml:space="preserve"> </w:t>
      </w:r>
      <w:r w:rsidR="002800F4" w:rsidRPr="00943F52">
        <w:rPr>
          <w:b/>
          <w:szCs w:val="24"/>
        </w:rPr>
        <w:t>substantial planning in order to achieve goals within the deadline</w:t>
      </w:r>
      <w:r w:rsidR="00F61AD8" w:rsidRPr="00943F52">
        <w:rPr>
          <w:b/>
          <w:szCs w:val="24"/>
        </w:rPr>
        <w:t>:</w:t>
      </w:r>
      <w:r>
        <w:rPr>
          <w:szCs w:val="24"/>
        </w:rPr>
        <w:t xml:space="preserve"> Many teams </w:t>
      </w:r>
      <w:r w:rsidR="00356A5F">
        <w:rPr>
          <w:szCs w:val="24"/>
        </w:rPr>
        <w:t xml:space="preserve">with completed projects in 2020 </w:t>
      </w:r>
      <w:r>
        <w:rPr>
          <w:szCs w:val="24"/>
        </w:rPr>
        <w:t>re</w:t>
      </w:r>
      <w:r w:rsidR="002800F4" w:rsidRPr="00943F52">
        <w:rPr>
          <w:szCs w:val="24"/>
        </w:rPr>
        <w:t xml:space="preserve">ported </w:t>
      </w:r>
      <w:r>
        <w:rPr>
          <w:szCs w:val="24"/>
        </w:rPr>
        <w:t>time management and planning as a barrier to project completion, especially du</w:t>
      </w:r>
      <w:r w:rsidR="00356A5F">
        <w:rPr>
          <w:szCs w:val="24"/>
        </w:rPr>
        <w:t>e to</w:t>
      </w:r>
      <w:r>
        <w:rPr>
          <w:szCs w:val="24"/>
        </w:rPr>
        <w:t xml:space="preserve"> the pandemic</w:t>
      </w:r>
      <w:r w:rsidR="004D6AB2" w:rsidRPr="00943F52">
        <w:rPr>
          <w:szCs w:val="24"/>
        </w:rPr>
        <w:t xml:space="preserve">. Some of these issues were </w:t>
      </w:r>
      <w:r w:rsidR="00356A5F">
        <w:rPr>
          <w:szCs w:val="24"/>
        </w:rPr>
        <w:t xml:space="preserve">also </w:t>
      </w:r>
      <w:r w:rsidR="004D6AB2" w:rsidRPr="00943F52">
        <w:rPr>
          <w:szCs w:val="24"/>
        </w:rPr>
        <w:t>attributed to a lack of foreknowledge of the time it would take</w:t>
      </w:r>
      <w:r w:rsidR="00356A5F">
        <w:rPr>
          <w:szCs w:val="24"/>
        </w:rPr>
        <w:t xml:space="preserve"> to complete major tasks and reach milestones</w:t>
      </w:r>
      <w:r w:rsidR="00424614" w:rsidRPr="00943F52">
        <w:rPr>
          <w:szCs w:val="24"/>
        </w:rPr>
        <w:t>.</w:t>
      </w:r>
      <w:r w:rsidR="00087063">
        <w:rPr>
          <w:szCs w:val="24"/>
        </w:rPr>
        <w:t xml:space="preserve"> In response to this trend</w:t>
      </w:r>
      <w:r w:rsidR="00F92F86">
        <w:rPr>
          <w:szCs w:val="24"/>
        </w:rPr>
        <w:t xml:space="preserve"> of time management </w:t>
      </w:r>
      <w:r w:rsidR="00DF6DFA">
        <w:rPr>
          <w:szCs w:val="24"/>
        </w:rPr>
        <w:t>being reported as a barrier to completion</w:t>
      </w:r>
      <w:r w:rsidR="00087063">
        <w:rPr>
          <w:szCs w:val="24"/>
        </w:rPr>
        <w:t xml:space="preserve">, Affordable Learning Georgia revised the application process </w:t>
      </w:r>
      <w:r w:rsidR="00DF6DFA">
        <w:rPr>
          <w:szCs w:val="24"/>
        </w:rPr>
        <w:t xml:space="preserve">in Spring 2020 </w:t>
      </w:r>
      <w:r w:rsidR="00087063">
        <w:rPr>
          <w:szCs w:val="24"/>
        </w:rPr>
        <w:t>to include more detailed</w:t>
      </w:r>
      <w:r w:rsidR="00812C45">
        <w:rPr>
          <w:szCs w:val="24"/>
        </w:rPr>
        <w:t xml:space="preserve"> time management </w:t>
      </w:r>
      <w:r w:rsidR="00DF6DFA">
        <w:rPr>
          <w:szCs w:val="24"/>
        </w:rPr>
        <w:t xml:space="preserve">within action </w:t>
      </w:r>
      <w:r w:rsidR="00812C45">
        <w:rPr>
          <w:szCs w:val="24"/>
        </w:rPr>
        <w:t>plans</w:t>
      </w:r>
      <w:r w:rsidR="00DF6DFA">
        <w:rPr>
          <w:szCs w:val="24"/>
        </w:rPr>
        <w:t>, containing</w:t>
      </w:r>
      <w:r w:rsidR="00812C45">
        <w:rPr>
          <w:szCs w:val="24"/>
        </w:rPr>
        <w:t xml:space="preserve"> achievable milestones</w:t>
      </w:r>
      <w:r w:rsidR="00DF6DFA">
        <w:rPr>
          <w:szCs w:val="24"/>
        </w:rPr>
        <w:t xml:space="preserve"> and an estimate of the time needed to complete major tasks</w:t>
      </w:r>
      <w:r w:rsidR="00812C45">
        <w:rPr>
          <w:szCs w:val="24"/>
        </w:rPr>
        <w:t>.</w:t>
      </w:r>
      <w:r w:rsidR="00AE5E00">
        <w:rPr>
          <w:szCs w:val="24"/>
        </w:rPr>
        <w:t xml:space="preserve"> </w:t>
      </w:r>
    </w:p>
    <w:p w14:paraId="1DCB4820" w14:textId="5E94B56D" w:rsidR="00EC4C34" w:rsidRDefault="00CA205F" w:rsidP="00943F52">
      <w:pPr>
        <w:rPr>
          <w:szCs w:val="24"/>
        </w:rPr>
      </w:pPr>
      <w:r>
        <w:rPr>
          <w:szCs w:val="24"/>
        </w:rPr>
        <w:t>2021 is the first year where this proposal change was in effect for final reports. T</w:t>
      </w:r>
      <w:r w:rsidR="00AE5E00">
        <w:rPr>
          <w:szCs w:val="24"/>
        </w:rPr>
        <w:t xml:space="preserve">ime constraints </w:t>
      </w:r>
      <w:r w:rsidR="00B26536">
        <w:rPr>
          <w:szCs w:val="24"/>
        </w:rPr>
        <w:t>were</w:t>
      </w:r>
      <w:r w:rsidR="00AE5E00">
        <w:rPr>
          <w:szCs w:val="24"/>
        </w:rPr>
        <w:t xml:space="preserve"> still reported in 2021</w:t>
      </w:r>
      <w:r w:rsidR="00B26536">
        <w:rPr>
          <w:szCs w:val="24"/>
        </w:rPr>
        <w:t>, but in a different way: mostly that adverse conditions, such as the COVID-19 pandemic and increased</w:t>
      </w:r>
      <w:r w:rsidR="00874E9C">
        <w:rPr>
          <w:szCs w:val="24"/>
        </w:rPr>
        <w:t xml:space="preserve"> amounts of organizational change and</w:t>
      </w:r>
      <w:r w:rsidR="00B26536">
        <w:rPr>
          <w:szCs w:val="24"/>
        </w:rPr>
        <w:t xml:space="preserve"> turnover, affected the detailed plans created </w:t>
      </w:r>
      <w:r>
        <w:rPr>
          <w:szCs w:val="24"/>
        </w:rPr>
        <w:t xml:space="preserve">within the application. </w:t>
      </w:r>
    </w:p>
    <w:p w14:paraId="7F22415D" w14:textId="4DA56866" w:rsidR="008D43C6" w:rsidRPr="00EC4C34" w:rsidRDefault="008D697A" w:rsidP="00E003F3">
      <w:pPr>
        <w:pStyle w:val="Quote"/>
      </w:pPr>
      <w:r w:rsidRPr="008D697A">
        <w:t>"</w:t>
      </w:r>
      <w:r w:rsidR="00A22300" w:rsidRPr="00A22300">
        <w:t>I would say that I greatly underestimated the time commitment necessary to complete this project, but the reality is that my workload doubled when the other faculty member who applied for the grant with me, a Limited Term lecturer, abruptly walked away from the project in Fall of 2020.</w:t>
      </w:r>
      <w:r w:rsidR="00A22300">
        <w:t>”</w:t>
      </w:r>
      <w:r>
        <w:br/>
        <w:t>– Dr.</w:t>
      </w:r>
      <w:r w:rsidR="000D1C2A">
        <w:t xml:space="preserve"> Kaleigh Kendrick, Kennesaw State University</w:t>
      </w:r>
    </w:p>
    <w:p w14:paraId="044E1DB9" w14:textId="5B957A2B" w:rsidR="00F4771B" w:rsidRDefault="00561953" w:rsidP="00943F52">
      <w:pPr>
        <w:rPr>
          <w:szCs w:val="24"/>
        </w:rPr>
      </w:pPr>
      <w:r>
        <w:rPr>
          <w:b/>
          <w:szCs w:val="24"/>
        </w:rPr>
        <w:t>Plan on on</w:t>
      </w:r>
      <w:r w:rsidR="00214B65" w:rsidRPr="00943F52">
        <w:rPr>
          <w:b/>
          <w:szCs w:val="24"/>
        </w:rPr>
        <w:t>g</w:t>
      </w:r>
      <w:r>
        <w:rPr>
          <w:b/>
          <w:szCs w:val="24"/>
        </w:rPr>
        <w:t>oing development after the project</w:t>
      </w:r>
      <w:r w:rsidR="00724DEF" w:rsidRPr="00943F52">
        <w:rPr>
          <w:b/>
          <w:szCs w:val="24"/>
        </w:rPr>
        <w:t>:</w:t>
      </w:r>
      <w:r w:rsidR="003C4FE8" w:rsidRPr="00943F52">
        <w:rPr>
          <w:b/>
          <w:szCs w:val="24"/>
        </w:rPr>
        <w:t xml:space="preserve"> </w:t>
      </w:r>
      <w:r w:rsidR="00692164" w:rsidRPr="00943F52">
        <w:rPr>
          <w:szCs w:val="24"/>
        </w:rPr>
        <w:t>This year</w:t>
      </w:r>
      <w:r w:rsidR="00874E9C">
        <w:rPr>
          <w:szCs w:val="24"/>
        </w:rPr>
        <w:t xml:space="preserve">, a majority of </w:t>
      </w:r>
      <w:r w:rsidR="00C35BD5">
        <w:rPr>
          <w:szCs w:val="24"/>
        </w:rPr>
        <w:t xml:space="preserve">the lessons learned that were shared in final reports were split on themes between time constraints and </w:t>
      </w:r>
      <w:r w:rsidR="00FE3AD7">
        <w:rPr>
          <w:szCs w:val="24"/>
        </w:rPr>
        <w:t xml:space="preserve">the need to make further revisions to the project after the implementation semester. </w:t>
      </w:r>
    </w:p>
    <w:p w14:paraId="4804A544" w14:textId="7D578F85" w:rsidR="00717F7B" w:rsidRDefault="00717F7B" w:rsidP="00943F52">
      <w:pPr>
        <w:rPr>
          <w:szCs w:val="24"/>
        </w:rPr>
      </w:pPr>
      <w:r>
        <w:rPr>
          <w:szCs w:val="24"/>
        </w:rPr>
        <w:t xml:space="preserve">If possible, ALG recommends new projects to plan for a pilot implementation semester before the final semester. Having a full semester of testing the materials can lead to a more successful full implementation in the final semester after revisions take place. </w:t>
      </w:r>
      <w:r w:rsidR="009935E3">
        <w:rPr>
          <w:szCs w:val="24"/>
        </w:rPr>
        <w:t xml:space="preserve">Otherwise, these types of revisions can be built into a proposal’s Sustainability Plan. </w:t>
      </w:r>
    </w:p>
    <w:p w14:paraId="6310B5A3" w14:textId="497495A4" w:rsidR="00DA7EC4" w:rsidRDefault="00FE1F11" w:rsidP="00B74FDA">
      <w:pPr>
        <w:pStyle w:val="Quote"/>
      </w:pPr>
      <w:r w:rsidRPr="00FE1F11">
        <w:t>"One of the things we could change if we had to do it over again, would be to develop an assignment around the concept of building your own study guide."</w:t>
      </w:r>
      <w:r w:rsidR="00C0632B">
        <w:br/>
      </w:r>
      <w:r w:rsidR="0062316F">
        <w:t>–</w:t>
      </w:r>
      <w:r w:rsidR="002352B8">
        <w:t xml:space="preserve"> </w:t>
      </w:r>
      <w:r w:rsidR="0062316F">
        <w:t xml:space="preserve">Dr. </w:t>
      </w:r>
      <w:r>
        <w:t xml:space="preserve">Lisa </w:t>
      </w:r>
      <w:proofErr w:type="spellStart"/>
      <w:r>
        <w:t>Gezon</w:t>
      </w:r>
      <w:proofErr w:type="spellEnd"/>
      <w:r>
        <w:t>, University of West Georgia</w:t>
      </w:r>
      <w:r w:rsidR="0062316F">
        <w:t xml:space="preserve"> </w:t>
      </w:r>
    </w:p>
    <w:p w14:paraId="35D4EC5C" w14:textId="63924313" w:rsidR="001A5EE6" w:rsidRDefault="00B83BC9" w:rsidP="001A5EE6">
      <w:pPr>
        <w:rPr>
          <w:bCs/>
          <w:szCs w:val="24"/>
        </w:rPr>
      </w:pPr>
      <w:r>
        <w:rPr>
          <w:b/>
          <w:szCs w:val="24"/>
        </w:rPr>
        <w:t>When evaluating</w:t>
      </w:r>
      <w:r w:rsidR="008C6144">
        <w:rPr>
          <w:b/>
          <w:szCs w:val="24"/>
        </w:rPr>
        <w:t xml:space="preserve"> the quality of materials or planning on the creation or adaptation of new materials, focus on </w:t>
      </w:r>
      <w:r w:rsidR="00F0582B">
        <w:rPr>
          <w:b/>
          <w:szCs w:val="24"/>
        </w:rPr>
        <w:t xml:space="preserve">the </w:t>
      </w:r>
      <w:r w:rsidR="008C6144">
        <w:rPr>
          <w:b/>
          <w:szCs w:val="24"/>
        </w:rPr>
        <w:t>relevance</w:t>
      </w:r>
      <w:r w:rsidR="00F0582B">
        <w:rPr>
          <w:b/>
          <w:szCs w:val="24"/>
        </w:rPr>
        <w:t xml:space="preserve"> of these materials to your students</w:t>
      </w:r>
      <w:r w:rsidR="001A5EE6">
        <w:rPr>
          <w:b/>
          <w:szCs w:val="24"/>
        </w:rPr>
        <w:t>.</w:t>
      </w:r>
      <w:r w:rsidR="001A5EE6">
        <w:rPr>
          <w:bCs/>
          <w:szCs w:val="24"/>
        </w:rPr>
        <w:t xml:space="preserve"> </w:t>
      </w:r>
      <w:hyperlink r:id="rId21" w:history="1">
        <w:r w:rsidR="001A5EE6" w:rsidRPr="00846328">
          <w:rPr>
            <w:rStyle w:val="Hyperlink"/>
            <w:bCs/>
            <w:szCs w:val="24"/>
          </w:rPr>
          <w:t>Faculty assessments of quality often diverge</w:t>
        </w:r>
      </w:hyperlink>
      <w:r w:rsidR="001A5EE6">
        <w:rPr>
          <w:bCs/>
          <w:szCs w:val="24"/>
        </w:rPr>
        <w:t xml:space="preserve"> </w:t>
      </w:r>
      <w:r w:rsidR="00F0582B">
        <w:rPr>
          <w:bCs/>
          <w:szCs w:val="24"/>
        </w:rPr>
        <w:t>on what quality mean</w:t>
      </w:r>
      <w:r w:rsidR="00244BFE">
        <w:rPr>
          <w:bCs/>
          <w:szCs w:val="24"/>
        </w:rPr>
        <w:t>s, often because of differences in subject matter or</w:t>
      </w:r>
      <w:r w:rsidR="001A5EE6">
        <w:rPr>
          <w:bCs/>
          <w:szCs w:val="24"/>
        </w:rPr>
        <w:t xml:space="preserve"> pedagogical techniques</w:t>
      </w:r>
      <w:r w:rsidR="00244BFE">
        <w:rPr>
          <w:bCs/>
          <w:szCs w:val="24"/>
        </w:rPr>
        <w:t>. Quality aspects to faculty include</w:t>
      </w:r>
      <w:r w:rsidR="001A5EE6">
        <w:rPr>
          <w:bCs/>
          <w:szCs w:val="24"/>
        </w:rPr>
        <w:t xml:space="preserve"> </w:t>
      </w:r>
      <w:r w:rsidR="00244BFE">
        <w:rPr>
          <w:bCs/>
          <w:szCs w:val="24"/>
        </w:rPr>
        <w:t>comprehensiveness</w:t>
      </w:r>
      <w:r w:rsidR="001A5EE6">
        <w:rPr>
          <w:bCs/>
          <w:szCs w:val="24"/>
        </w:rPr>
        <w:t>,</w:t>
      </w:r>
      <w:r w:rsidR="00244BFE">
        <w:rPr>
          <w:bCs/>
          <w:szCs w:val="24"/>
        </w:rPr>
        <w:t xml:space="preserve"> </w:t>
      </w:r>
      <w:r w:rsidR="00F93E6D">
        <w:rPr>
          <w:bCs/>
          <w:szCs w:val="24"/>
        </w:rPr>
        <w:t xml:space="preserve">design issues, </w:t>
      </w:r>
      <w:r w:rsidR="00244BFE">
        <w:rPr>
          <w:bCs/>
          <w:szCs w:val="24"/>
        </w:rPr>
        <w:t>technical issues,</w:t>
      </w:r>
      <w:r w:rsidR="001A5EE6">
        <w:rPr>
          <w:bCs/>
          <w:szCs w:val="24"/>
        </w:rPr>
        <w:t xml:space="preserve"> accuracy issues,</w:t>
      </w:r>
      <w:r w:rsidR="00244BFE">
        <w:rPr>
          <w:bCs/>
          <w:szCs w:val="24"/>
        </w:rPr>
        <w:t xml:space="preserve"> writing style</w:t>
      </w:r>
      <w:r w:rsidR="00F93E6D">
        <w:rPr>
          <w:bCs/>
          <w:szCs w:val="24"/>
        </w:rPr>
        <w:t>s</w:t>
      </w:r>
      <w:r w:rsidR="00244BFE">
        <w:rPr>
          <w:bCs/>
          <w:szCs w:val="24"/>
        </w:rPr>
        <w:t>,</w:t>
      </w:r>
      <w:r w:rsidR="001A5EE6">
        <w:rPr>
          <w:bCs/>
          <w:szCs w:val="24"/>
        </w:rPr>
        <w:t xml:space="preserve"> and opinions about </w:t>
      </w:r>
      <w:r w:rsidR="00F93E6D">
        <w:rPr>
          <w:bCs/>
          <w:szCs w:val="24"/>
        </w:rPr>
        <w:t xml:space="preserve">using </w:t>
      </w:r>
      <w:r w:rsidR="001A5EE6">
        <w:rPr>
          <w:bCs/>
          <w:szCs w:val="24"/>
        </w:rPr>
        <w:t xml:space="preserve">print versus digital formats. </w:t>
      </w:r>
      <w:r w:rsidR="006D0FD6">
        <w:rPr>
          <w:bCs/>
          <w:szCs w:val="24"/>
        </w:rPr>
        <w:t xml:space="preserve">In </w:t>
      </w:r>
      <w:r w:rsidR="009935E3">
        <w:rPr>
          <w:bCs/>
          <w:szCs w:val="24"/>
        </w:rPr>
        <w:t>2021</w:t>
      </w:r>
      <w:r w:rsidR="006D0FD6">
        <w:rPr>
          <w:bCs/>
          <w:szCs w:val="24"/>
        </w:rPr>
        <w:t>,</w:t>
      </w:r>
      <w:r w:rsidR="009935E3">
        <w:rPr>
          <w:bCs/>
          <w:szCs w:val="24"/>
        </w:rPr>
        <w:t xml:space="preserve"> when </w:t>
      </w:r>
      <w:r w:rsidR="009935E3">
        <w:rPr>
          <w:bCs/>
          <w:szCs w:val="24"/>
        </w:rPr>
        <w:lastRenderedPageBreak/>
        <w:t xml:space="preserve">students commented on the quality of a resource, they always </w:t>
      </w:r>
      <w:r w:rsidR="006D0FD6">
        <w:rPr>
          <w:bCs/>
          <w:szCs w:val="24"/>
        </w:rPr>
        <w:t>focus</w:t>
      </w:r>
      <w:r w:rsidR="009935E3">
        <w:rPr>
          <w:bCs/>
          <w:szCs w:val="24"/>
        </w:rPr>
        <w:t>ed</w:t>
      </w:r>
      <w:r w:rsidR="006D0FD6">
        <w:rPr>
          <w:bCs/>
          <w:szCs w:val="24"/>
        </w:rPr>
        <w:t xml:space="preserve"> on</w:t>
      </w:r>
      <w:r w:rsidR="001A5EE6">
        <w:rPr>
          <w:bCs/>
          <w:szCs w:val="24"/>
        </w:rPr>
        <w:t xml:space="preserve"> relevance</w:t>
      </w:r>
      <w:r w:rsidR="009935E3">
        <w:rPr>
          <w:bCs/>
          <w:szCs w:val="24"/>
        </w:rPr>
        <w:t xml:space="preserve">, whether saying a resource was </w:t>
      </w:r>
      <w:r w:rsidR="00B86E01">
        <w:rPr>
          <w:bCs/>
          <w:szCs w:val="24"/>
        </w:rPr>
        <w:t xml:space="preserve">streamlined, to the point, </w:t>
      </w:r>
      <w:r w:rsidR="008C3791">
        <w:rPr>
          <w:bCs/>
          <w:szCs w:val="24"/>
        </w:rPr>
        <w:t>practical, concise, and/or related directly to assignments and exams.</w:t>
      </w:r>
      <w:r w:rsidR="009935E3">
        <w:rPr>
          <w:bCs/>
          <w:szCs w:val="24"/>
        </w:rPr>
        <w:t xml:space="preserve"> </w:t>
      </w:r>
      <w:r w:rsidR="003D58FD">
        <w:rPr>
          <w:bCs/>
          <w:szCs w:val="24"/>
        </w:rPr>
        <w:t xml:space="preserve"> </w:t>
      </w:r>
    </w:p>
    <w:p w14:paraId="447C5585" w14:textId="77777777" w:rsidR="001A5EE6" w:rsidRDefault="001A5EE6" w:rsidP="001A5EE6">
      <w:pPr>
        <w:rPr>
          <w:bCs/>
          <w:szCs w:val="24"/>
        </w:rPr>
      </w:pPr>
      <w:r>
        <w:rPr>
          <w:bCs/>
          <w:szCs w:val="24"/>
        </w:rPr>
        <w:t xml:space="preserve">Future projects should consider the relation of potential course materials to students’ overall experience with the course; for example, the connection between a textbook and the corresponding tests and quizzes, the connection between materials and the typical career path within a course’s corresponding major, or the connection between materials and the lived experiences of the students taking the course.    </w:t>
      </w:r>
    </w:p>
    <w:p w14:paraId="70E9AFD2" w14:textId="1CEBE091" w:rsidR="001A5EE6" w:rsidRPr="00C875AB" w:rsidRDefault="00483A11" w:rsidP="001A5EE6">
      <w:pPr>
        <w:pStyle w:val="Quote"/>
      </w:pPr>
      <w:r w:rsidRPr="00483A11">
        <w:t>"To students in this class, I would highly recommend looking at the text, because it directly applies to the class objectives."</w:t>
      </w:r>
      <w:r w:rsidR="001A5EE6">
        <w:br/>
        <w:t xml:space="preserve">– Student of Dr. </w:t>
      </w:r>
      <w:r>
        <w:t>Skanda Vivek, Georgia Gwinnett College</w:t>
      </w:r>
      <w:r w:rsidR="00510EFD">
        <w:br/>
      </w:r>
      <w:r w:rsidR="001A5EE6">
        <w:br/>
      </w:r>
      <w:r w:rsidR="006E1AD2" w:rsidRPr="006E1AD2">
        <w:t>"Not a lot of wasted pages like books in my other classes</w:t>
      </w:r>
      <w:r w:rsidR="006E1AD2">
        <w:t>.</w:t>
      </w:r>
      <w:r w:rsidR="006E1AD2" w:rsidRPr="006E1AD2">
        <w:t>"</w:t>
      </w:r>
      <w:r w:rsidR="001A5EE6">
        <w:br/>
        <w:t xml:space="preserve">– Student of Dr. </w:t>
      </w:r>
      <w:r w:rsidR="006E1AD2">
        <w:t>Dennis Miller</w:t>
      </w:r>
      <w:r w:rsidR="001A5EE6">
        <w:t xml:space="preserve">, </w:t>
      </w:r>
      <w:r w:rsidR="00510EFD">
        <w:t>Clayton State University</w:t>
      </w:r>
      <w:r w:rsidR="001A5EE6">
        <w:br/>
      </w:r>
      <w:r w:rsidR="001A5EE6">
        <w:br/>
      </w:r>
      <w:r w:rsidR="00510EFD" w:rsidRPr="00510EFD">
        <w:t>“The books have provided practical and concise descriptions of how and why we research.”</w:t>
      </w:r>
      <w:r w:rsidR="00045E55">
        <w:br/>
      </w:r>
      <w:r w:rsidR="001A5EE6">
        <w:t xml:space="preserve">– Student of Dr. </w:t>
      </w:r>
      <w:r w:rsidR="003955C4">
        <w:t>Elizabeth Pope</w:t>
      </w:r>
      <w:r w:rsidR="001A5EE6">
        <w:t xml:space="preserve">, </w:t>
      </w:r>
      <w:r w:rsidR="003955C4">
        <w:t>University of West Georgia</w:t>
      </w:r>
    </w:p>
    <w:p w14:paraId="32FA50C3" w14:textId="77777777" w:rsidR="00525207" w:rsidRDefault="00525207" w:rsidP="002E409C">
      <w:pPr>
        <w:pStyle w:val="Quote"/>
      </w:pPr>
      <w:r w:rsidRPr="00525207">
        <w:t>"It streamlined the important topics covered in this course, and it provided supplemental instruction that helped me to understand the material presented."</w:t>
      </w:r>
      <w:r w:rsidR="00B16173">
        <w:t xml:space="preserve"> </w:t>
      </w:r>
      <w:r w:rsidR="00B16173">
        <w:br/>
        <w:t xml:space="preserve">– </w:t>
      </w:r>
      <w:r>
        <w:t xml:space="preserve">Student of </w:t>
      </w:r>
      <w:r w:rsidR="00B16173">
        <w:t xml:space="preserve">Dr. </w:t>
      </w:r>
      <w:r w:rsidR="001A5EE6">
        <w:t>A</w:t>
      </w:r>
      <w:r>
        <w:t>ntara Dutta</w:t>
      </w:r>
      <w:r w:rsidR="001A5EE6">
        <w:t xml:space="preserve">, </w:t>
      </w:r>
      <w:bookmarkStart w:id="18" w:name="_Conclusions"/>
      <w:bookmarkStart w:id="19" w:name="_Toc71722081"/>
      <w:bookmarkEnd w:id="18"/>
      <w:r>
        <w:t>Georgia State University</w:t>
      </w:r>
    </w:p>
    <w:p w14:paraId="24CDFCCE" w14:textId="1AD3F91C" w:rsidR="001D1906" w:rsidRPr="00EA244B" w:rsidRDefault="001D1906" w:rsidP="00BD5BE3">
      <w:pPr>
        <w:pStyle w:val="Heading1"/>
      </w:pPr>
      <w:r w:rsidRPr="00EA244B">
        <w:t>Conclusions</w:t>
      </w:r>
      <w:bookmarkEnd w:id="19"/>
    </w:p>
    <w:p w14:paraId="559BE11F" w14:textId="5B7590AD" w:rsidR="00675792" w:rsidRDefault="00EC0439" w:rsidP="00330274">
      <w:pPr>
        <w:spacing w:after="240"/>
      </w:pPr>
      <w:r>
        <w:t xml:space="preserve">The COVID-19 pandemic affected higher education as a whole in 2020, and </w:t>
      </w:r>
      <w:r w:rsidR="00330274">
        <w:t xml:space="preserve">grant teams </w:t>
      </w:r>
      <w:r w:rsidR="00525207">
        <w:t xml:space="preserve">continued to </w:t>
      </w:r>
      <w:r w:rsidR="00330274">
        <w:t>report substantial barriers due to the pandemic</w:t>
      </w:r>
      <w:r w:rsidR="00525207">
        <w:t xml:space="preserve"> in 2021</w:t>
      </w:r>
      <w:r w:rsidR="00330274">
        <w:t xml:space="preserve">. </w:t>
      </w:r>
      <w:r w:rsidR="00525207">
        <w:t xml:space="preserve">Shifts in </w:t>
      </w:r>
      <w:r w:rsidR="00330274">
        <w:t xml:space="preserve">instruction, learning, collaboration, </w:t>
      </w:r>
      <w:r w:rsidR="00D138E4">
        <w:t>and the ability to conduct research all had an impact on the success of Transformation Grant projec</w:t>
      </w:r>
      <w:r w:rsidR="00525207">
        <w:t>ts during the pandemic</w:t>
      </w:r>
      <w:r w:rsidR="00D138E4">
        <w:t xml:space="preserve">. </w:t>
      </w:r>
      <w:r w:rsidR="007F789F">
        <w:t xml:space="preserve">These </w:t>
      </w:r>
      <w:r w:rsidR="00525207">
        <w:t xml:space="preserve">shifts continued to </w:t>
      </w:r>
      <w:r w:rsidR="007F789F">
        <w:t>ma</w:t>
      </w:r>
      <w:r w:rsidR="00525207">
        <w:t>k</w:t>
      </w:r>
      <w:r w:rsidR="007F789F">
        <w:t xml:space="preserve">e determining the effects of </w:t>
      </w:r>
      <w:r w:rsidR="00675792">
        <w:t>implementing affordable materials</w:t>
      </w:r>
      <w:r w:rsidR="00525207">
        <w:t xml:space="preserve"> </w:t>
      </w:r>
      <w:r w:rsidR="00675792">
        <w:t xml:space="preserve">more difficult. </w:t>
      </w:r>
    </w:p>
    <w:p w14:paraId="6FEDB19C" w14:textId="3F1BFDFA" w:rsidR="00EC0439" w:rsidRDefault="00675792" w:rsidP="0094499C">
      <w:pPr>
        <w:spacing w:after="240"/>
      </w:pPr>
      <w:r>
        <w:t xml:space="preserve">Despite these complications and barriers, </w:t>
      </w:r>
      <w:r w:rsidR="00525207">
        <w:t xml:space="preserve">just like with 2020, </w:t>
      </w:r>
      <w:r w:rsidR="00C9755F">
        <w:t>it</w:t>
      </w:r>
      <w:r w:rsidR="00A93CD4">
        <w:t xml:space="preserve"> is</w:t>
      </w:r>
      <w:r w:rsidR="00C9755F">
        <w:t xml:space="preserve"> clear from the 202</w:t>
      </w:r>
      <w:r w:rsidR="00525207">
        <w:t>1</w:t>
      </w:r>
      <w:r w:rsidR="00C9755F">
        <w:t xml:space="preserve"> Final Reports that the</w:t>
      </w:r>
      <w:r w:rsidR="00A93CD4">
        <w:t xml:space="preserve"> implementation of affordable materials</w:t>
      </w:r>
      <w:r w:rsidR="00C9755F">
        <w:t xml:space="preserve"> did not adversely affect student perceptions, performance, or course-level retention</w:t>
      </w:r>
      <w:r w:rsidR="00FC2257">
        <w:t xml:space="preserve"> while improving affordability.</w:t>
      </w:r>
      <w:r w:rsidR="007A65B7">
        <w:t xml:space="preserve"> </w:t>
      </w:r>
      <w:r w:rsidR="00A915AE" w:rsidRPr="00A915AE">
        <w:t>Grant teams funded in these three rounds still largely saw overall positive or neutral changes to student performance and to DFW course-level retention rates</w:t>
      </w:r>
      <w:r w:rsidR="00FC2257">
        <w:t>.</w:t>
      </w:r>
    </w:p>
    <w:p w14:paraId="137D5FC1" w14:textId="4926E220" w:rsidR="00390051" w:rsidRDefault="00EC0439" w:rsidP="00390051">
      <w:pPr>
        <w:spacing w:after="240"/>
      </w:pPr>
      <w:r>
        <w:t>Students who gave positive reviews of the new materials in courses often commented on the</w:t>
      </w:r>
      <w:r w:rsidRPr="00D33D25">
        <w:t xml:space="preserve"> relevance of the materials (to the course and to their overall career goals/lives) as a quality indicator</w:t>
      </w:r>
      <w:r w:rsidR="0094499C" w:rsidRPr="00D33D25">
        <w:t xml:space="preserve">, and </w:t>
      </w:r>
      <w:r w:rsidR="00D33D25" w:rsidRPr="00D33D25">
        <w:t xml:space="preserve">future grant teams should consider relevance when planning the </w:t>
      </w:r>
      <w:r w:rsidR="00FC2257">
        <w:t xml:space="preserve">adoption, </w:t>
      </w:r>
      <w:r w:rsidR="00D33D25" w:rsidRPr="00D33D25">
        <w:t>adaptation</w:t>
      </w:r>
      <w:r w:rsidR="00FC2257">
        <w:t>, or creation</w:t>
      </w:r>
      <w:r w:rsidR="00D33D25" w:rsidRPr="00D33D25">
        <w:t xml:space="preserve"> of materials.</w:t>
      </w:r>
      <w:r w:rsidRPr="00D33D25">
        <w:t xml:space="preserve"> </w:t>
      </w:r>
      <w:r w:rsidR="00FC2257">
        <w:t>Despite the adverse effects of the pandemic, f</w:t>
      </w:r>
      <w:r w:rsidR="00390051">
        <w:t>a</w:t>
      </w:r>
      <w:r w:rsidRPr="00D33D25">
        <w:t xml:space="preserve">culty </w:t>
      </w:r>
      <w:r w:rsidR="00FC2257">
        <w:t>still</w:t>
      </w:r>
      <w:r w:rsidRPr="00D33D25">
        <w:t xml:space="preserve"> remarked that </w:t>
      </w:r>
      <w:r w:rsidR="00390051">
        <w:t>they enjoyed</w:t>
      </w:r>
      <w:r w:rsidRPr="00D33D25">
        <w:t xml:space="preserve"> examin</w:t>
      </w:r>
      <w:r w:rsidR="00390051">
        <w:t>ing</w:t>
      </w:r>
      <w:r w:rsidRPr="00D33D25">
        <w:t xml:space="preserve"> their pedagogical methods and the relevance of their mate</w:t>
      </w:r>
      <w:r>
        <w:t xml:space="preserve">rials to their students and desired learning outcomes. </w:t>
      </w:r>
    </w:p>
    <w:p w14:paraId="7F8417EA" w14:textId="0EF78F0D" w:rsidR="007D4C43" w:rsidRPr="00EA244B" w:rsidRDefault="006B0461" w:rsidP="007D4C43">
      <w:pPr>
        <w:pStyle w:val="Heading1"/>
      </w:pPr>
      <w:bookmarkStart w:id="20" w:name="_Toc71722082"/>
      <w:r>
        <w:lastRenderedPageBreak/>
        <w:t xml:space="preserve">Note on </w:t>
      </w:r>
      <w:r w:rsidR="007D4C43" w:rsidRPr="00EA244B">
        <w:t>Analysis Challenges</w:t>
      </w:r>
      <w:bookmarkEnd w:id="20"/>
    </w:p>
    <w:p w14:paraId="099678A7" w14:textId="2764F2A0" w:rsidR="007D4C43" w:rsidRPr="00EA244B" w:rsidRDefault="007D4C43" w:rsidP="007D4C43">
      <w:r>
        <w:t>Variation will occur</w:t>
      </w:r>
      <w:r w:rsidRPr="00EA244B">
        <w:t xml:space="preserve"> with the number of semesters of data used and whether averages calculated were department-wide or instructor-specific. Confounding factors when measuring learning outcomes and retention efficacy </w:t>
      </w:r>
      <w:r w:rsidR="004774AD">
        <w:t>can include</w:t>
      </w:r>
      <w:r>
        <w:t xml:space="preserve"> </w:t>
      </w:r>
      <w:r w:rsidRPr="00EA244B">
        <w:t xml:space="preserve">differences in student composition between semesters, enrollment shifts, and organizational complications due to institutional consolidations. </w:t>
      </w:r>
    </w:p>
    <w:p w14:paraId="0EA20379" w14:textId="0A864E67" w:rsidR="007D4C43" w:rsidRDefault="007D4C43" w:rsidP="007D4C43">
      <w:r w:rsidRPr="00EA244B">
        <w:t xml:space="preserve">Three uniform questions about student perceptions, student learning outcomes, and drop/fail/withdraw rates </w:t>
      </w:r>
      <w:r>
        <w:t xml:space="preserve">are given to all </w:t>
      </w:r>
      <w:r w:rsidR="00DD37C6">
        <w:t>p</w:t>
      </w:r>
      <w:r>
        <w:t xml:space="preserve">roject </w:t>
      </w:r>
      <w:r w:rsidR="00DD37C6">
        <w:t>l</w:t>
      </w:r>
      <w:r>
        <w:t xml:space="preserve">eads within the </w:t>
      </w:r>
      <w:r w:rsidR="00DD37C6">
        <w:t>f</w:t>
      </w:r>
      <w:r>
        <w:t xml:space="preserve">inal </w:t>
      </w:r>
      <w:r w:rsidR="00DD37C6">
        <w:t>r</w:t>
      </w:r>
      <w:r>
        <w:t xml:space="preserve">eport </w:t>
      </w:r>
      <w:r w:rsidRPr="00EA244B">
        <w:t>as supplementary to the</w:t>
      </w:r>
      <w:r>
        <w:t>ir</w:t>
      </w:r>
      <w:r w:rsidRPr="00EA244B">
        <w:t xml:space="preserve"> summar</w:t>
      </w:r>
      <w:r>
        <w:t xml:space="preserve">ies </w:t>
      </w:r>
      <w:r w:rsidRPr="00EA244B">
        <w:t xml:space="preserve">of all research conducted. The interpretation of qualitative and quantitative findings, evaluations of statistical significance, and analysis of confounding factors are </w:t>
      </w:r>
      <w:r>
        <w:t>the responsibility</w:t>
      </w:r>
      <w:r w:rsidRPr="00EA244B">
        <w:t xml:space="preserve"> of the faculty teams conducting the research. </w:t>
      </w:r>
    </w:p>
    <w:sectPr w:rsidR="007D4C43" w:rsidSect="00927FF2">
      <w:headerReference w:type="even" r:id="rId22"/>
      <w:headerReference w:type="default" r:id="rId23"/>
      <w:footerReference w:type="even" r:id="rId24"/>
      <w:footerReference w:type="default" r:id="rId25"/>
      <w:headerReference w:type="first" r:id="rId26"/>
      <w:footerReference w:type="first" r:id="rId2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860A58E" w14:textId="77777777" w:rsidR="00F227D3" w:rsidRDefault="00F227D3" w:rsidP="00227BF0">
      <w:pPr>
        <w:spacing w:after="0" w:line="240" w:lineRule="auto"/>
      </w:pPr>
      <w:r>
        <w:separator/>
      </w:r>
    </w:p>
  </w:endnote>
  <w:endnote w:type="continuationSeparator" w:id="0">
    <w:p w14:paraId="2C2ABEAA" w14:textId="77777777" w:rsidR="00F227D3" w:rsidRDefault="00F227D3" w:rsidP="00227BF0">
      <w:pPr>
        <w:spacing w:after="0" w:line="240" w:lineRule="auto"/>
      </w:pPr>
      <w:r>
        <w:continuationSeparator/>
      </w:r>
    </w:p>
  </w:endnote>
  <w:endnote w:type="continuationNotice" w:id="1">
    <w:p w14:paraId="2473C88F" w14:textId="77777777" w:rsidR="00F227D3" w:rsidRDefault="00F227D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Arial"/>
    <w:charset w:val="00"/>
    <w:family w:val="auto"/>
    <w:pitch w:val="variable"/>
    <w:sig w:usb0="E1000AEF" w:usb1="5000A1FF" w:usb2="00000000" w:usb3="00000000" w:csb0="000001B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540DAA" w14:textId="77777777" w:rsidR="00FC2257" w:rsidRDefault="00FC225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53841976"/>
      <w:docPartObj>
        <w:docPartGallery w:val="Page Numbers (Bottom of Page)"/>
        <w:docPartUnique/>
      </w:docPartObj>
    </w:sdtPr>
    <w:sdtEndPr>
      <w:rPr>
        <w:noProof/>
      </w:rPr>
    </w:sdtEndPr>
    <w:sdtContent>
      <w:p w14:paraId="0351B7A9" w14:textId="28A2F932" w:rsidR="00067655" w:rsidRDefault="009B4E92" w:rsidP="009B4E92">
        <w:pPr>
          <w:pStyle w:val="Footer"/>
          <w:tabs>
            <w:tab w:val="right" w:pos="4680"/>
            <w:tab w:val="left" w:pos="9270"/>
          </w:tabs>
          <w:rPr>
            <w:noProof/>
          </w:rPr>
        </w:pPr>
        <w:r>
          <w:rPr>
            <w:noProof/>
          </w:rPr>
          <w:tab/>
          <w:t xml:space="preserve">This </w:t>
        </w:r>
        <w:r w:rsidR="00067655">
          <w:rPr>
            <w:noProof/>
          </w:rPr>
          <w:t xml:space="preserve">report by Affordable Learning Georgia is under a </w:t>
        </w:r>
        <w:hyperlink r:id="rId1" w:history="1">
          <w:r w:rsidR="00067655" w:rsidRPr="005A475C">
            <w:rPr>
              <w:rStyle w:val="Hyperlink"/>
              <w:noProof/>
            </w:rPr>
            <w:t>Creative Commons Attribution 4.0 International License.</w:t>
          </w:r>
        </w:hyperlink>
      </w:p>
      <w:p w14:paraId="44E7207B" w14:textId="4984B648" w:rsidR="00B8504C" w:rsidRDefault="009B4E92" w:rsidP="009B4E92">
        <w:pPr>
          <w:pStyle w:val="Footer"/>
          <w:tabs>
            <w:tab w:val="right" w:pos="4680"/>
            <w:tab w:val="left" w:pos="9270"/>
          </w:tabs>
          <w:rPr>
            <w:noProof/>
          </w:rPr>
        </w:pPr>
        <w:r>
          <w:rPr>
            <w:noProof/>
          </w:rPr>
          <w:drawing>
            <wp:inline distT="0" distB="0" distL="0" distR="0" wp14:anchorId="6D131AA3" wp14:editId="3205D8AF">
              <wp:extent cx="838200" cy="295275"/>
              <wp:effectExtent l="0" t="0" r="0" b="9525"/>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838200" cy="295275"/>
                      </a:xfrm>
                      <a:prstGeom prst="rect">
                        <a:avLst/>
                      </a:prstGeom>
                      <a:noFill/>
                      <a:ln>
                        <a:noFill/>
                      </a:ln>
                    </pic:spPr>
                  </pic:pic>
                </a:graphicData>
              </a:graphic>
            </wp:inline>
          </w:drawing>
        </w:r>
      </w:p>
    </w:sdtContent>
  </w:sdt>
  <w:p w14:paraId="2072C768" w14:textId="77777777" w:rsidR="00B8504C" w:rsidRDefault="00B8504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47F921" w14:textId="7F2D5667" w:rsidR="00B8504C" w:rsidRDefault="00F227D3">
    <w:pPr>
      <w:pStyle w:val="Footer"/>
    </w:pPr>
    <w:sdt>
      <w:sdtPr>
        <w:id w:val="969400743"/>
        <w:temporary/>
        <w:showingPlcHdr/>
      </w:sdtPr>
      <w:sdtEndPr/>
      <w:sdtContent>
        <w:r w:rsidR="00B8504C">
          <w:t>[Type here]</w:t>
        </w:r>
      </w:sdtContent>
    </w:sdt>
    <w:r w:rsidR="00B8504C">
      <w:ptab w:relativeTo="margin" w:alignment="center" w:leader="none"/>
    </w:r>
    <w:sdt>
      <w:sdtPr>
        <w:id w:val="969400748"/>
        <w:temporary/>
        <w:showingPlcHdr/>
      </w:sdtPr>
      <w:sdtEndPr/>
      <w:sdtContent>
        <w:r w:rsidR="00B8504C">
          <w:t>[Type here]</w:t>
        </w:r>
      </w:sdtContent>
    </w:sdt>
    <w:r w:rsidR="00B8504C">
      <w:ptab w:relativeTo="margin" w:alignment="right" w:leader="none"/>
    </w:r>
    <w:sdt>
      <w:sdtPr>
        <w:id w:val="969400753"/>
        <w:temporary/>
        <w:showingPlcHdr/>
      </w:sdtPr>
      <w:sdtEndPr/>
      <w:sdtContent>
        <w:r w:rsidR="00B8504C">
          <w:t>[Type here]</w:t>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A666901" w14:textId="77777777" w:rsidR="00F227D3" w:rsidRDefault="00F227D3" w:rsidP="00227BF0">
      <w:pPr>
        <w:spacing w:after="0" w:line="240" w:lineRule="auto"/>
      </w:pPr>
      <w:r>
        <w:separator/>
      </w:r>
    </w:p>
  </w:footnote>
  <w:footnote w:type="continuationSeparator" w:id="0">
    <w:p w14:paraId="7614D797" w14:textId="77777777" w:rsidR="00F227D3" w:rsidRDefault="00F227D3" w:rsidP="00227BF0">
      <w:pPr>
        <w:spacing w:after="0" w:line="240" w:lineRule="auto"/>
      </w:pPr>
      <w:r>
        <w:continuationSeparator/>
      </w:r>
    </w:p>
  </w:footnote>
  <w:footnote w:type="continuationNotice" w:id="1">
    <w:p w14:paraId="426BC3B8" w14:textId="77777777" w:rsidR="00F227D3" w:rsidRDefault="00F227D3">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C88751" w14:textId="77777777" w:rsidR="00FC2257" w:rsidRDefault="00FC225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89916824"/>
      <w:docPartObj>
        <w:docPartGallery w:val="Page Numbers (Top of Page)"/>
        <w:docPartUnique/>
      </w:docPartObj>
    </w:sdtPr>
    <w:sdtEndPr>
      <w:rPr>
        <w:noProof/>
      </w:rPr>
    </w:sdtEndPr>
    <w:sdtContent>
      <w:p w14:paraId="5BC14ADA" w14:textId="30A956B8" w:rsidR="005A475C" w:rsidRDefault="005A475C">
        <w:pPr>
          <w:pStyle w:val="Header"/>
        </w:pPr>
        <w:r>
          <w:fldChar w:fldCharType="begin"/>
        </w:r>
        <w:r>
          <w:instrText xml:space="preserve"> PAGE   \* MERGEFORMAT </w:instrText>
        </w:r>
        <w:r>
          <w:fldChar w:fldCharType="separate"/>
        </w:r>
        <w:r>
          <w:rPr>
            <w:noProof/>
          </w:rPr>
          <w:t>2</w:t>
        </w:r>
        <w:r>
          <w:rPr>
            <w:noProof/>
          </w:rPr>
          <w:fldChar w:fldCharType="end"/>
        </w:r>
      </w:p>
    </w:sdtContent>
  </w:sdt>
  <w:p w14:paraId="35C321D3" w14:textId="77777777" w:rsidR="00B8504C" w:rsidRDefault="00B8504C" w:rsidP="00227BF0">
    <w:pPr>
      <w:pStyle w:val="Header"/>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44C47B" w14:textId="77777777" w:rsidR="00B8504C" w:rsidRDefault="21AF918F" w:rsidP="00227BF0">
    <w:pPr>
      <w:pStyle w:val="Header"/>
      <w:jc w:val="center"/>
    </w:pPr>
    <w:r>
      <w:rPr>
        <w:noProof/>
      </w:rPr>
      <w:drawing>
        <wp:inline distT="0" distB="0" distL="0" distR="0" wp14:anchorId="1CD97AAF" wp14:editId="5A60253E">
          <wp:extent cx="3313355" cy="711876"/>
          <wp:effectExtent l="0" t="0" r="1905" b="0"/>
          <wp:docPr id="7"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pic:nvPicPr>
                <pic:blipFill>
                  <a:blip r:embed="rId1">
                    <a:extLst>
                      <a:ext uri="{28A0092B-C50C-407E-A947-70E740481C1C}">
                        <a14:useLocalDpi xmlns:a14="http://schemas.microsoft.com/office/drawing/2010/main" val="0"/>
                      </a:ext>
                    </a:extLst>
                  </a:blip>
                  <a:stretch>
                    <a:fillRect/>
                  </a:stretch>
                </pic:blipFill>
                <pic:spPr>
                  <a:xfrm>
                    <a:off x="0" y="0"/>
                    <a:ext cx="3313355" cy="711876"/>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805E03"/>
    <w:multiLevelType w:val="hybridMultilevel"/>
    <w:tmpl w:val="AF6A1E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2B3367B"/>
    <w:multiLevelType w:val="hybridMultilevel"/>
    <w:tmpl w:val="B44C48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2A33531"/>
    <w:multiLevelType w:val="hybridMultilevel"/>
    <w:tmpl w:val="5944DCD4"/>
    <w:lvl w:ilvl="0" w:tplc="077A36D8">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7084F16"/>
    <w:multiLevelType w:val="hybridMultilevel"/>
    <w:tmpl w:val="AD96D1A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F036186"/>
    <w:multiLevelType w:val="hybridMultilevel"/>
    <w:tmpl w:val="3EB04C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9E20C28"/>
    <w:multiLevelType w:val="hybridMultilevel"/>
    <w:tmpl w:val="16B0D4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587403A"/>
    <w:multiLevelType w:val="hybridMultilevel"/>
    <w:tmpl w:val="56489D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E1B5E72"/>
    <w:multiLevelType w:val="hybridMultilevel"/>
    <w:tmpl w:val="F44828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E767422"/>
    <w:multiLevelType w:val="hybridMultilevel"/>
    <w:tmpl w:val="37FC33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2742E1D"/>
    <w:multiLevelType w:val="hybridMultilevel"/>
    <w:tmpl w:val="6F7452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55C1D2E"/>
    <w:multiLevelType w:val="hybridMultilevel"/>
    <w:tmpl w:val="377A8D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64E5DE2"/>
    <w:multiLevelType w:val="hybridMultilevel"/>
    <w:tmpl w:val="F978F3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90C06D9"/>
    <w:multiLevelType w:val="hybridMultilevel"/>
    <w:tmpl w:val="D2ACC0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A415C69"/>
    <w:multiLevelType w:val="hybridMultilevel"/>
    <w:tmpl w:val="BF500FA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4086F5F"/>
    <w:multiLevelType w:val="hybridMultilevel"/>
    <w:tmpl w:val="CA0603A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4226338"/>
    <w:multiLevelType w:val="hybridMultilevel"/>
    <w:tmpl w:val="4FE0BF1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6386492"/>
    <w:multiLevelType w:val="hybridMultilevel"/>
    <w:tmpl w:val="F342ACC8"/>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FC6047F"/>
    <w:multiLevelType w:val="hybridMultilevel"/>
    <w:tmpl w:val="705600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61513B56"/>
    <w:multiLevelType w:val="hybridMultilevel"/>
    <w:tmpl w:val="13F63D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7B5831FD"/>
    <w:multiLevelType w:val="hybridMultilevel"/>
    <w:tmpl w:val="2F3A53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7D1C7DE5"/>
    <w:multiLevelType w:val="hybridMultilevel"/>
    <w:tmpl w:val="049C46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12"/>
  </w:num>
  <w:num w:numId="3">
    <w:abstractNumId w:val="11"/>
  </w:num>
  <w:num w:numId="4">
    <w:abstractNumId w:val="10"/>
  </w:num>
  <w:num w:numId="5">
    <w:abstractNumId w:val="5"/>
  </w:num>
  <w:num w:numId="6">
    <w:abstractNumId w:val="7"/>
  </w:num>
  <w:num w:numId="7">
    <w:abstractNumId w:val="6"/>
  </w:num>
  <w:num w:numId="8">
    <w:abstractNumId w:val="15"/>
  </w:num>
  <w:num w:numId="9">
    <w:abstractNumId w:val="13"/>
  </w:num>
  <w:num w:numId="10">
    <w:abstractNumId w:val="18"/>
  </w:num>
  <w:num w:numId="11">
    <w:abstractNumId w:val="1"/>
  </w:num>
  <w:num w:numId="12">
    <w:abstractNumId w:val="20"/>
  </w:num>
  <w:num w:numId="13">
    <w:abstractNumId w:val="3"/>
  </w:num>
  <w:num w:numId="14">
    <w:abstractNumId w:val="19"/>
  </w:num>
  <w:num w:numId="15">
    <w:abstractNumId w:val="8"/>
  </w:num>
  <w:num w:numId="16">
    <w:abstractNumId w:val="9"/>
  </w:num>
  <w:num w:numId="17">
    <w:abstractNumId w:val="4"/>
  </w:num>
  <w:num w:numId="18">
    <w:abstractNumId w:val="16"/>
  </w:num>
  <w:num w:numId="19">
    <w:abstractNumId w:val="14"/>
  </w:num>
  <w:num w:numId="20">
    <w:abstractNumId w:val="17"/>
  </w:num>
  <w:num w:numId="2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spelling="clean"/>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7817"/>
    <w:rsid w:val="00001276"/>
    <w:rsid w:val="00005860"/>
    <w:rsid w:val="00010A9B"/>
    <w:rsid w:val="00014E72"/>
    <w:rsid w:val="000153DC"/>
    <w:rsid w:val="00016C37"/>
    <w:rsid w:val="00021FF1"/>
    <w:rsid w:val="00024774"/>
    <w:rsid w:val="000266B5"/>
    <w:rsid w:val="00031DC8"/>
    <w:rsid w:val="00032ACE"/>
    <w:rsid w:val="00044BFA"/>
    <w:rsid w:val="00045E55"/>
    <w:rsid w:val="00055078"/>
    <w:rsid w:val="00062714"/>
    <w:rsid w:val="00062AFF"/>
    <w:rsid w:val="0006469A"/>
    <w:rsid w:val="00067655"/>
    <w:rsid w:val="00067817"/>
    <w:rsid w:val="00075EA6"/>
    <w:rsid w:val="00076B64"/>
    <w:rsid w:val="00077089"/>
    <w:rsid w:val="000804B8"/>
    <w:rsid w:val="0008144E"/>
    <w:rsid w:val="00085479"/>
    <w:rsid w:val="00087063"/>
    <w:rsid w:val="000912D2"/>
    <w:rsid w:val="0009144C"/>
    <w:rsid w:val="00093BD9"/>
    <w:rsid w:val="000A431F"/>
    <w:rsid w:val="000A4739"/>
    <w:rsid w:val="000B49A4"/>
    <w:rsid w:val="000B4F06"/>
    <w:rsid w:val="000C0633"/>
    <w:rsid w:val="000D050E"/>
    <w:rsid w:val="000D0DF8"/>
    <w:rsid w:val="000D1C2A"/>
    <w:rsid w:val="000D2EE2"/>
    <w:rsid w:val="000D3172"/>
    <w:rsid w:val="000E195B"/>
    <w:rsid w:val="000E2329"/>
    <w:rsid w:val="000E5DDC"/>
    <w:rsid w:val="000E6FAC"/>
    <w:rsid w:val="000F1BBA"/>
    <w:rsid w:val="000F66DE"/>
    <w:rsid w:val="00103AD0"/>
    <w:rsid w:val="001040DA"/>
    <w:rsid w:val="00104A74"/>
    <w:rsid w:val="001169DE"/>
    <w:rsid w:val="00134EE8"/>
    <w:rsid w:val="001353CF"/>
    <w:rsid w:val="001375D2"/>
    <w:rsid w:val="00141A28"/>
    <w:rsid w:val="00144504"/>
    <w:rsid w:val="0014639C"/>
    <w:rsid w:val="00151155"/>
    <w:rsid w:val="00152ADA"/>
    <w:rsid w:val="00154655"/>
    <w:rsid w:val="00157113"/>
    <w:rsid w:val="00161429"/>
    <w:rsid w:val="00161838"/>
    <w:rsid w:val="00165623"/>
    <w:rsid w:val="001663D4"/>
    <w:rsid w:val="0017343B"/>
    <w:rsid w:val="00183BC5"/>
    <w:rsid w:val="001840E8"/>
    <w:rsid w:val="00184F43"/>
    <w:rsid w:val="001864BD"/>
    <w:rsid w:val="00186D6A"/>
    <w:rsid w:val="001A33A1"/>
    <w:rsid w:val="001A3B66"/>
    <w:rsid w:val="001A5EE6"/>
    <w:rsid w:val="001B0F20"/>
    <w:rsid w:val="001B1849"/>
    <w:rsid w:val="001B2364"/>
    <w:rsid w:val="001B5A40"/>
    <w:rsid w:val="001C6E84"/>
    <w:rsid w:val="001D1906"/>
    <w:rsid w:val="001D1C70"/>
    <w:rsid w:val="001D49D3"/>
    <w:rsid w:val="001D52C7"/>
    <w:rsid w:val="001E2B71"/>
    <w:rsid w:val="001E49C2"/>
    <w:rsid w:val="001F1C58"/>
    <w:rsid w:val="001F50A4"/>
    <w:rsid w:val="001F6198"/>
    <w:rsid w:val="001F6FD8"/>
    <w:rsid w:val="00201EBA"/>
    <w:rsid w:val="00207738"/>
    <w:rsid w:val="00211085"/>
    <w:rsid w:val="0021147D"/>
    <w:rsid w:val="00214B65"/>
    <w:rsid w:val="002238A1"/>
    <w:rsid w:val="00225047"/>
    <w:rsid w:val="00227BF0"/>
    <w:rsid w:val="00232840"/>
    <w:rsid w:val="00234550"/>
    <w:rsid w:val="002352B8"/>
    <w:rsid w:val="0024309F"/>
    <w:rsid w:val="00243232"/>
    <w:rsid w:val="00243992"/>
    <w:rsid w:val="00244BFE"/>
    <w:rsid w:val="002507BA"/>
    <w:rsid w:val="002561C5"/>
    <w:rsid w:val="0025759F"/>
    <w:rsid w:val="00264B72"/>
    <w:rsid w:val="00272882"/>
    <w:rsid w:val="00275A88"/>
    <w:rsid w:val="002800F4"/>
    <w:rsid w:val="0028376E"/>
    <w:rsid w:val="00283CFE"/>
    <w:rsid w:val="00286FF0"/>
    <w:rsid w:val="002949F5"/>
    <w:rsid w:val="00294D56"/>
    <w:rsid w:val="00295584"/>
    <w:rsid w:val="00296D0B"/>
    <w:rsid w:val="002A107F"/>
    <w:rsid w:val="002A2BE2"/>
    <w:rsid w:val="002A2C31"/>
    <w:rsid w:val="002A6007"/>
    <w:rsid w:val="002B2A08"/>
    <w:rsid w:val="002B5DAC"/>
    <w:rsid w:val="002B7271"/>
    <w:rsid w:val="002C596D"/>
    <w:rsid w:val="002C6FAB"/>
    <w:rsid w:val="002C78D3"/>
    <w:rsid w:val="002D2D11"/>
    <w:rsid w:val="002D5C2E"/>
    <w:rsid w:val="002D663B"/>
    <w:rsid w:val="002D6C2F"/>
    <w:rsid w:val="002E3E72"/>
    <w:rsid w:val="002E409C"/>
    <w:rsid w:val="002E56A0"/>
    <w:rsid w:val="002E61B5"/>
    <w:rsid w:val="002E7869"/>
    <w:rsid w:val="002E7CF2"/>
    <w:rsid w:val="002F1CE5"/>
    <w:rsid w:val="002F2FF0"/>
    <w:rsid w:val="0030287C"/>
    <w:rsid w:val="00304A40"/>
    <w:rsid w:val="003065F7"/>
    <w:rsid w:val="00307ECB"/>
    <w:rsid w:val="00312ADF"/>
    <w:rsid w:val="00314966"/>
    <w:rsid w:val="0031502F"/>
    <w:rsid w:val="00326EC0"/>
    <w:rsid w:val="00330274"/>
    <w:rsid w:val="00332DF5"/>
    <w:rsid w:val="003439B9"/>
    <w:rsid w:val="00350424"/>
    <w:rsid w:val="00354B1E"/>
    <w:rsid w:val="00356520"/>
    <w:rsid w:val="00356A5F"/>
    <w:rsid w:val="00357767"/>
    <w:rsid w:val="00361EDA"/>
    <w:rsid w:val="0036420D"/>
    <w:rsid w:val="0037184F"/>
    <w:rsid w:val="00372869"/>
    <w:rsid w:val="003751E2"/>
    <w:rsid w:val="00377496"/>
    <w:rsid w:val="00381178"/>
    <w:rsid w:val="00381DF4"/>
    <w:rsid w:val="00382D70"/>
    <w:rsid w:val="00384C54"/>
    <w:rsid w:val="00390051"/>
    <w:rsid w:val="0039411F"/>
    <w:rsid w:val="003955C4"/>
    <w:rsid w:val="003A10DE"/>
    <w:rsid w:val="003B380C"/>
    <w:rsid w:val="003B5664"/>
    <w:rsid w:val="003C3212"/>
    <w:rsid w:val="003C3BED"/>
    <w:rsid w:val="003C4A73"/>
    <w:rsid w:val="003C4FE8"/>
    <w:rsid w:val="003C6490"/>
    <w:rsid w:val="003D58FD"/>
    <w:rsid w:val="003D6639"/>
    <w:rsid w:val="003D6787"/>
    <w:rsid w:val="003E0CC7"/>
    <w:rsid w:val="003F1DCC"/>
    <w:rsid w:val="003F50F1"/>
    <w:rsid w:val="003F7E78"/>
    <w:rsid w:val="00405F07"/>
    <w:rsid w:val="004067BC"/>
    <w:rsid w:val="00407431"/>
    <w:rsid w:val="004112D2"/>
    <w:rsid w:val="004134DD"/>
    <w:rsid w:val="00421B94"/>
    <w:rsid w:val="00422582"/>
    <w:rsid w:val="00424614"/>
    <w:rsid w:val="00427643"/>
    <w:rsid w:val="00442D24"/>
    <w:rsid w:val="00443107"/>
    <w:rsid w:val="00445924"/>
    <w:rsid w:val="00447641"/>
    <w:rsid w:val="00452380"/>
    <w:rsid w:val="00454D51"/>
    <w:rsid w:val="0047052B"/>
    <w:rsid w:val="0047340C"/>
    <w:rsid w:val="00474E68"/>
    <w:rsid w:val="00476583"/>
    <w:rsid w:val="004774AD"/>
    <w:rsid w:val="00482412"/>
    <w:rsid w:val="00483A11"/>
    <w:rsid w:val="00483FA9"/>
    <w:rsid w:val="00492FAE"/>
    <w:rsid w:val="00497C0A"/>
    <w:rsid w:val="00497C1A"/>
    <w:rsid w:val="004A0154"/>
    <w:rsid w:val="004A1B23"/>
    <w:rsid w:val="004A4862"/>
    <w:rsid w:val="004A6C0F"/>
    <w:rsid w:val="004B4C33"/>
    <w:rsid w:val="004B51FC"/>
    <w:rsid w:val="004B66EF"/>
    <w:rsid w:val="004C4128"/>
    <w:rsid w:val="004D10DB"/>
    <w:rsid w:val="004D6AB2"/>
    <w:rsid w:val="004E054C"/>
    <w:rsid w:val="004E5BF4"/>
    <w:rsid w:val="004F312F"/>
    <w:rsid w:val="004F3922"/>
    <w:rsid w:val="004F5002"/>
    <w:rsid w:val="004F55AC"/>
    <w:rsid w:val="00501795"/>
    <w:rsid w:val="00501D38"/>
    <w:rsid w:val="00510EFD"/>
    <w:rsid w:val="00516214"/>
    <w:rsid w:val="00525207"/>
    <w:rsid w:val="00526C31"/>
    <w:rsid w:val="0053693A"/>
    <w:rsid w:val="00536AA6"/>
    <w:rsid w:val="0054091A"/>
    <w:rsid w:val="00541CCC"/>
    <w:rsid w:val="00541D71"/>
    <w:rsid w:val="00541EDD"/>
    <w:rsid w:val="00552848"/>
    <w:rsid w:val="005536CC"/>
    <w:rsid w:val="005572C5"/>
    <w:rsid w:val="00561953"/>
    <w:rsid w:val="00562544"/>
    <w:rsid w:val="00566ABF"/>
    <w:rsid w:val="00572B7B"/>
    <w:rsid w:val="00573AAA"/>
    <w:rsid w:val="00574962"/>
    <w:rsid w:val="00580726"/>
    <w:rsid w:val="005909DF"/>
    <w:rsid w:val="0059228C"/>
    <w:rsid w:val="005A475C"/>
    <w:rsid w:val="005A5A1D"/>
    <w:rsid w:val="005B3ED3"/>
    <w:rsid w:val="005B5CF8"/>
    <w:rsid w:val="005B78F9"/>
    <w:rsid w:val="005D32A6"/>
    <w:rsid w:val="005D367B"/>
    <w:rsid w:val="005E07B5"/>
    <w:rsid w:val="005E753E"/>
    <w:rsid w:val="006008B5"/>
    <w:rsid w:val="006028E6"/>
    <w:rsid w:val="00607456"/>
    <w:rsid w:val="00610377"/>
    <w:rsid w:val="00613CFE"/>
    <w:rsid w:val="006149C6"/>
    <w:rsid w:val="00615AAC"/>
    <w:rsid w:val="00616E67"/>
    <w:rsid w:val="00617A65"/>
    <w:rsid w:val="0062316F"/>
    <w:rsid w:val="00625EF6"/>
    <w:rsid w:val="00630795"/>
    <w:rsid w:val="00632E89"/>
    <w:rsid w:val="0063554A"/>
    <w:rsid w:val="0064180E"/>
    <w:rsid w:val="0064499B"/>
    <w:rsid w:val="006454E3"/>
    <w:rsid w:val="0064606D"/>
    <w:rsid w:val="00656990"/>
    <w:rsid w:val="00657749"/>
    <w:rsid w:val="00657EC7"/>
    <w:rsid w:val="0066234F"/>
    <w:rsid w:val="00663442"/>
    <w:rsid w:val="00671A6F"/>
    <w:rsid w:val="00675546"/>
    <w:rsid w:val="006755A3"/>
    <w:rsid w:val="00675792"/>
    <w:rsid w:val="00675E51"/>
    <w:rsid w:val="006801AE"/>
    <w:rsid w:val="00683380"/>
    <w:rsid w:val="006836D4"/>
    <w:rsid w:val="006846C6"/>
    <w:rsid w:val="006851FF"/>
    <w:rsid w:val="00692164"/>
    <w:rsid w:val="00693A3F"/>
    <w:rsid w:val="006A2B38"/>
    <w:rsid w:val="006A3FE0"/>
    <w:rsid w:val="006A4F29"/>
    <w:rsid w:val="006B0461"/>
    <w:rsid w:val="006B4B83"/>
    <w:rsid w:val="006C76F8"/>
    <w:rsid w:val="006D0FD6"/>
    <w:rsid w:val="006D28FE"/>
    <w:rsid w:val="006D44FF"/>
    <w:rsid w:val="006D7200"/>
    <w:rsid w:val="006E1AD2"/>
    <w:rsid w:val="006E3CF7"/>
    <w:rsid w:val="006F11FD"/>
    <w:rsid w:val="006F2B7C"/>
    <w:rsid w:val="006F4519"/>
    <w:rsid w:val="006F49C9"/>
    <w:rsid w:val="006F63B1"/>
    <w:rsid w:val="006F65A5"/>
    <w:rsid w:val="007007DC"/>
    <w:rsid w:val="00707221"/>
    <w:rsid w:val="00710BA0"/>
    <w:rsid w:val="00710FA1"/>
    <w:rsid w:val="00715F7B"/>
    <w:rsid w:val="0071642D"/>
    <w:rsid w:val="007165EC"/>
    <w:rsid w:val="00717F7B"/>
    <w:rsid w:val="0072351C"/>
    <w:rsid w:val="007242D9"/>
    <w:rsid w:val="00724986"/>
    <w:rsid w:val="00724DEF"/>
    <w:rsid w:val="007256E4"/>
    <w:rsid w:val="007276C7"/>
    <w:rsid w:val="00730007"/>
    <w:rsid w:val="007352D0"/>
    <w:rsid w:val="007356ED"/>
    <w:rsid w:val="0073613A"/>
    <w:rsid w:val="0075214C"/>
    <w:rsid w:val="00755632"/>
    <w:rsid w:val="00760747"/>
    <w:rsid w:val="00763F8B"/>
    <w:rsid w:val="00764869"/>
    <w:rsid w:val="007653DA"/>
    <w:rsid w:val="007714BE"/>
    <w:rsid w:val="007746C2"/>
    <w:rsid w:val="00780E6F"/>
    <w:rsid w:val="0078316F"/>
    <w:rsid w:val="00783866"/>
    <w:rsid w:val="00791BD6"/>
    <w:rsid w:val="00795E31"/>
    <w:rsid w:val="007965A2"/>
    <w:rsid w:val="007A65B7"/>
    <w:rsid w:val="007A671C"/>
    <w:rsid w:val="007A721C"/>
    <w:rsid w:val="007B149B"/>
    <w:rsid w:val="007B5E7E"/>
    <w:rsid w:val="007B60D4"/>
    <w:rsid w:val="007B6621"/>
    <w:rsid w:val="007B76E8"/>
    <w:rsid w:val="007C23FB"/>
    <w:rsid w:val="007C65BE"/>
    <w:rsid w:val="007D0465"/>
    <w:rsid w:val="007D0BEC"/>
    <w:rsid w:val="007D10B0"/>
    <w:rsid w:val="007D4C43"/>
    <w:rsid w:val="007E32CC"/>
    <w:rsid w:val="007F126E"/>
    <w:rsid w:val="007F12B2"/>
    <w:rsid w:val="007F25A3"/>
    <w:rsid w:val="007F5940"/>
    <w:rsid w:val="007F5ED3"/>
    <w:rsid w:val="007F6470"/>
    <w:rsid w:val="007F6C76"/>
    <w:rsid w:val="007F789F"/>
    <w:rsid w:val="00800C4C"/>
    <w:rsid w:val="00801AEE"/>
    <w:rsid w:val="0080743C"/>
    <w:rsid w:val="00810813"/>
    <w:rsid w:val="00812C45"/>
    <w:rsid w:val="00813DD5"/>
    <w:rsid w:val="008157F8"/>
    <w:rsid w:val="00816DB1"/>
    <w:rsid w:val="00824460"/>
    <w:rsid w:val="00825FFA"/>
    <w:rsid w:val="00826F42"/>
    <w:rsid w:val="0083074E"/>
    <w:rsid w:val="00832A5B"/>
    <w:rsid w:val="00832BF4"/>
    <w:rsid w:val="00835917"/>
    <w:rsid w:val="00835F38"/>
    <w:rsid w:val="00837AEB"/>
    <w:rsid w:val="008438A3"/>
    <w:rsid w:val="00844F4E"/>
    <w:rsid w:val="00846328"/>
    <w:rsid w:val="008605BE"/>
    <w:rsid w:val="00861D67"/>
    <w:rsid w:val="00864A91"/>
    <w:rsid w:val="008666D4"/>
    <w:rsid w:val="00866DD8"/>
    <w:rsid w:val="00867BAE"/>
    <w:rsid w:val="00871CD1"/>
    <w:rsid w:val="00871F4D"/>
    <w:rsid w:val="00874D1D"/>
    <w:rsid w:val="00874E9C"/>
    <w:rsid w:val="00875066"/>
    <w:rsid w:val="00876460"/>
    <w:rsid w:val="008846D0"/>
    <w:rsid w:val="00890736"/>
    <w:rsid w:val="00892CBE"/>
    <w:rsid w:val="008935BB"/>
    <w:rsid w:val="008937A7"/>
    <w:rsid w:val="00896A74"/>
    <w:rsid w:val="008976EA"/>
    <w:rsid w:val="008A5500"/>
    <w:rsid w:val="008A7219"/>
    <w:rsid w:val="008B7B71"/>
    <w:rsid w:val="008C3791"/>
    <w:rsid w:val="008C4569"/>
    <w:rsid w:val="008C54D7"/>
    <w:rsid w:val="008C6144"/>
    <w:rsid w:val="008D43C6"/>
    <w:rsid w:val="008D697A"/>
    <w:rsid w:val="008E4199"/>
    <w:rsid w:val="008E4394"/>
    <w:rsid w:val="008E7BAE"/>
    <w:rsid w:val="008F0D32"/>
    <w:rsid w:val="008F1081"/>
    <w:rsid w:val="00905AB2"/>
    <w:rsid w:val="00914C17"/>
    <w:rsid w:val="0092235B"/>
    <w:rsid w:val="00923010"/>
    <w:rsid w:val="00927FF2"/>
    <w:rsid w:val="00930FF3"/>
    <w:rsid w:val="0093295B"/>
    <w:rsid w:val="0094117B"/>
    <w:rsid w:val="009418A6"/>
    <w:rsid w:val="0094317A"/>
    <w:rsid w:val="00943452"/>
    <w:rsid w:val="009436C1"/>
    <w:rsid w:val="00943F52"/>
    <w:rsid w:val="0094402F"/>
    <w:rsid w:val="0094499C"/>
    <w:rsid w:val="00946548"/>
    <w:rsid w:val="00951877"/>
    <w:rsid w:val="00953114"/>
    <w:rsid w:val="00963B78"/>
    <w:rsid w:val="009674E2"/>
    <w:rsid w:val="0097144E"/>
    <w:rsid w:val="00976C0C"/>
    <w:rsid w:val="00980EF6"/>
    <w:rsid w:val="0098715E"/>
    <w:rsid w:val="00987584"/>
    <w:rsid w:val="00987F26"/>
    <w:rsid w:val="009935E3"/>
    <w:rsid w:val="00994301"/>
    <w:rsid w:val="009945A7"/>
    <w:rsid w:val="00996206"/>
    <w:rsid w:val="00996F1A"/>
    <w:rsid w:val="009B1691"/>
    <w:rsid w:val="009B1CD4"/>
    <w:rsid w:val="009B224F"/>
    <w:rsid w:val="009B4E92"/>
    <w:rsid w:val="009B67AE"/>
    <w:rsid w:val="009C2C9C"/>
    <w:rsid w:val="009C7488"/>
    <w:rsid w:val="009D2C8B"/>
    <w:rsid w:val="009D6FC8"/>
    <w:rsid w:val="009E06BB"/>
    <w:rsid w:val="009E4BB8"/>
    <w:rsid w:val="009F0266"/>
    <w:rsid w:val="009F1A2A"/>
    <w:rsid w:val="009F4740"/>
    <w:rsid w:val="009F61D1"/>
    <w:rsid w:val="009F6B14"/>
    <w:rsid w:val="009F76E0"/>
    <w:rsid w:val="00A02A22"/>
    <w:rsid w:val="00A02EDE"/>
    <w:rsid w:val="00A074ED"/>
    <w:rsid w:val="00A11690"/>
    <w:rsid w:val="00A16087"/>
    <w:rsid w:val="00A22300"/>
    <w:rsid w:val="00A22B51"/>
    <w:rsid w:val="00A22BA6"/>
    <w:rsid w:val="00A24FA7"/>
    <w:rsid w:val="00A25526"/>
    <w:rsid w:val="00A27645"/>
    <w:rsid w:val="00A32323"/>
    <w:rsid w:val="00A3431A"/>
    <w:rsid w:val="00A42FD2"/>
    <w:rsid w:val="00A43D55"/>
    <w:rsid w:val="00A44547"/>
    <w:rsid w:val="00A44888"/>
    <w:rsid w:val="00A44908"/>
    <w:rsid w:val="00A54FCE"/>
    <w:rsid w:val="00A565D5"/>
    <w:rsid w:val="00A56D7F"/>
    <w:rsid w:val="00A64B16"/>
    <w:rsid w:val="00A651EA"/>
    <w:rsid w:val="00A66A50"/>
    <w:rsid w:val="00A75670"/>
    <w:rsid w:val="00A839A4"/>
    <w:rsid w:val="00A87B6C"/>
    <w:rsid w:val="00A915AE"/>
    <w:rsid w:val="00A93CD4"/>
    <w:rsid w:val="00AA52C7"/>
    <w:rsid w:val="00AA7855"/>
    <w:rsid w:val="00AB1FC1"/>
    <w:rsid w:val="00AB4802"/>
    <w:rsid w:val="00AB5F25"/>
    <w:rsid w:val="00AB6042"/>
    <w:rsid w:val="00AD3E0B"/>
    <w:rsid w:val="00AE17FB"/>
    <w:rsid w:val="00AE5E00"/>
    <w:rsid w:val="00AE5FFA"/>
    <w:rsid w:val="00AF260A"/>
    <w:rsid w:val="00AF37B8"/>
    <w:rsid w:val="00AF4865"/>
    <w:rsid w:val="00B03DAA"/>
    <w:rsid w:val="00B06553"/>
    <w:rsid w:val="00B118D0"/>
    <w:rsid w:val="00B16173"/>
    <w:rsid w:val="00B200B5"/>
    <w:rsid w:val="00B25D43"/>
    <w:rsid w:val="00B26536"/>
    <w:rsid w:val="00B314B0"/>
    <w:rsid w:val="00B3292B"/>
    <w:rsid w:val="00B34C56"/>
    <w:rsid w:val="00B36F3C"/>
    <w:rsid w:val="00B37597"/>
    <w:rsid w:val="00B42410"/>
    <w:rsid w:val="00B45AA1"/>
    <w:rsid w:val="00B60D2F"/>
    <w:rsid w:val="00B6314E"/>
    <w:rsid w:val="00B6574E"/>
    <w:rsid w:val="00B67351"/>
    <w:rsid w:val="00B74FDA"/>
    <w:rsid w:val="00B74FF8"/>
    <w:rsid w:val="00B75F0A"/>
    <w:rsid w:val="00B76852"/>
    <w:rsid w:val="00B83749"/>
    <w:rsid w:val="00B83BC9"/>
    <w:rsid w:val="00B8504C"/>
    <w:rsid w:val="00B86E01"/>
    <w:rsid w:val="00B93062"/>
    <w:rsid w:val="00B94EB0"/>
    <w:rsid w:val="00BA3370"/>
    <w:rsid w:val="00BA3587"/>
    <w:rsid w:val="00BA62BA"/>
    <w:rsid w:val="00BB0165"/>
    <w:rsid w:val="00BC1D79"/>
    <w:rsid w:val="00BC2BCB"/>
    <w:rsid w:val="00BC4EC7"/>
    <w:rsid w:val="00BC6C72"/>
    <w:rsid w:val="00BD5BE3"/>
    <w:rsid w:val="00BD6B27"/>
    <w:rsid w:val="00BD6D13"/>
    <w:rsid w:val="00BE1148"/>
    <w:rsid w:val="00BE1281"/>
    <w:rsid w:val="00BE6854"/>
    <w:rsid w:val="00C00FC2"/>
    <w:rsid w:val="00C0632B"/>
    <w:rsid w:val="00C12036"/>
    <w:rsid w:val="00C14B8E"/>
    <w:rsid w:val="00C14DC0"/>
    <w:rsid w:val="00C15550"/>
    <w:rsid w:val="00C23A54"/>
    <w:rsid w:val="00C265B9"/>
    <w:rsid w:val="00C26694"/>
    <w:rsid w:val="00C2712B"/>
    <w:rsid w:val="00C31EA0"/>
    <w:rsid w:val="00C35BD5"/>
    <w:rsid w:val="00C36732"/>
    <w:rsid w:val="00C458B3"/>
    <w:rsid w:val="00C460B5"/>
    <w:rsid w:val="00C55EBE"/>
    <w:rsid w:val="00C60D87"/>
    <w:rsid w:val="00C614F7"/>
    <w:rsid w:val="00C6150A"/>
    <w:rsid w:val="00C61EB3"/>
    <w:rsid w:val="00C6298E"/>
    <w:rsid w:val="00C650C2"/>
    <w:rsid w:val="00C653A3"/>
    <w:rsid w:val="00C67DFF"/>
    <w:rsid w:val="00C728FE"/>
    <w:rsid w:val="00C73D84"/>
    <w:rsid w:val="00C76519"/>
    <w:rsid w:val="00C809AF"/>
    <w:rsid w:val="00C813EA"/>
    <w:rsid w:val="00C83C8E"/>
    <w:rsid w:val="00C85456"/>
    <w:rsid w:val="00C85E19"/>
    <w:rsid w:val="00C87044"/>
    <w:rsid w:val="00C875AB"/>
    <w:rsid w:val="00C914CE"/>
    <w:rsid w:val="00C93924"/>
    <w:rsid w:val="00C95AFF"/>
    <w:rsid w:val="00C96822"/>
    <w:rsid w:val="00C970CA"/>
    <w:rsid w:val="00C9755F"/>
    <w:rsid w:val="00CA113E"/>
    <w:rsid w:val="00CA205F"/>
    <w:rsid w:val="00CA294D"/>
    <w:rsid w:val="00CA3726"/>
    <w:rsid w:val="00CA5049"/>
    <w:rsid w:val="00CA64C1"/>
    <w:rsid w:val="00CA6866"/>
    <w:rsid w:val="00CB3074"/>
    <w:rsid w:val="00CB37E8"/>
    <w:rsid w:val="00CB4C34"/>
    <w:rsid w:val="00CB6045"/>
    <w:rsid w:val="00CC0EB8"/>
    <w:rsid w:val="00CC114C"/>
    <w:rsid w:val="00CC47A6"/>
    <w:rsid w:val="00CD0884"/>
    <w:rsid w:val="00CD08B1"/>
    <w:rsid w:val="00CD435C"/>
    <w:rsid w:val="00CD68C2"/>
    <w:rsid w:val="00CE10FD"/>
    <w:rsid w:val="00CE14A9"/>
    <w:rsid w:val="00CE315A"/>
    <w:rsid w:val="00CE7B69"/>
    <w:rsid w:val="00CF7B0D"/>
    <w:rsid w:val="00D03739"/>
    <w:rsid w:val="00D10E2B"/>
    <w:rsid w:val="00D113EB"/>
    <w:rsid w:val="00D138E4"/>
    <w:rsid w:val="00D24E8A"/>
    <w:rsid w:val="00D25C4C"/>
    <w:rsid w:val="00D32418"/>
    <w:rsid w:val="00D32592"/>
    <w:rsid w:val="00D33D25"/>
    <w:rsid w:val="00D3404F"/>
    <w:rsid w:val="00D34079"/>
    <w:rsid w:val="00D36A75"/>
    <w:rsid w:val="00D41AA2"/>
    <w:rsid w:val="00D41DF2"/>
    <w:rsid w:val="00D42ECF"/>
    <w:rsid w:val="00D437F1"/>
    <w:rsid w:val="00D440E3"/>
    <w:rsid w:val="00D521AA"/>
    <w:rsid w:val="00D54D22"/>
    <w:rsid w:val="00D61549"/>
    <w:rsid w:val="00D617C7"/>
    <w:rsid w:val="00D65831"/>
    <w:rsid w:val="00D71FB6"/>
    <w:rsid w:val="00D71FC5"/>
    <w:rsid w:val="00D74AF0"/>
    <w:rsid w:val="00D75C3D"/>
    <w:rsid w:val="00D841B3"/>
    <w:rsid w:val="00D942AB"/>
    <w:rsid w:val="00D95BF8"/>
    <w:rsid w:val="00D96218"/>
    <w:rsid w:val="00D96F13"/>
    <w:rsid w:val="00DA04E3"/>
    <w:rsid w:val="00DA11EB"/>
    <w:rsid w:val="00DA3B26"/>
    <w:rsid w:val="00DA3FD6"/>
    <w:rsid w:val="00DA6900"/>
    <w:rsid w:val="00DA7400"/>
    <w:rsid w:val="00DA7631"/>
    <w:rsid w:val="00DA7EC4"/>
    <w:rsid w:val="00DB0C0F"/>
    <w:rsid w:val="00DB5E2C"/>
    <w:rsid w:val="00DC1DBA"/>
    <w:rsid w:val="00DC34BF"/>
    <w:rsid w:val="00DC6BEC"/>
    <w:rsid w:val="00DD37C6"/>
    <w:rsid w:val="00DD5945"/>
    <w:rsid w:val="00DE07A1"/>
    <w:rsid w:val="00DF1001"/>
    <w:rsid w:val="00DF3291"/>
    <w:rsid w:val="00DF4B0C"/>
    <w:rsid w:val="00DF6DFA"/>
    <w:rsid w:val="00E003F3"/>
    <w:rsid w:val="00E012F5"/>
    <w:rsid w:val="00E029BC"/>
    <w:rsid w:val="00E072B6"/>
    <w:rsid w:val="00E10311"/>
    <w:rsid w:val="00E10AEB"/>
    <w:rsid w:val="00E25614"/>
    <w:rsid w:val="00E34AE9"/>
    <w:rsid w:val="00E41BDE"/>
    <w:rsid w:val="00E45CB0"/>
    <w:rsid w:val="00E5121B"/>
    <w:rsid w:val="00E51A69"/>
    <w:rsid w:val="00E52657"/>
    <w:rsid w:val="00E53A0F"/>
    <w:rsid w:val="00E5726C"/>
    <w:rsid w:val="00E61FC2"/>
    <w:rsid w:val="00E67170"/>
    <w:rsid w:val="00E828BB"/>
    <w:rsid w:val="00E832CD"/>
    <w:rsid w:val="00E86265"/>
    <w:rsid w:val="00E86BC2"/>
    <w:rsid w:val="00E94B3E"/>
    <w:rsid w:val="00E95285"/>
    <w:rsid w:val="00EA244B"/>
    <w:rsid w:val="00EA2881"/>
    <w:rsid w:val="00EB6106"/>
    <w:rsid w:val="00EB70FD"/>
    <w:rsid w:val="00EB7C4E"/>
    <w:rsid w:val="00EC0439"/>
    <w:rsid w:val="00EC0A92"/>
    <w:rsid w:val="00EC1489"/>
    <w:rsid w:val="00EC1F22"/>
    <w:rsid w:val="00EC2EEA"/>
    <w:rsid w:val="00EC4C34"/>
    <w:rsid w:val="00ED22F8"/>
    <w:rsid w:val="00ED43F5"/>
    <w:rsid w:val="00ED5543"/>
    <w:rsid w:val="00EE04BD"/>
    <w:rsid w:val="00EE0FCC"/>
    <w:rsid w:val="00EE3D01"/>
    <w:rsid w:val="00EE471F"/>
    <w:rsid w:val="00EE4F14"/>
    <w:rsid w:val="00EE6646"/>
    <w:rsid w:val="00EF574C"/>
    <w:rsid w:val="00F031C1"/>
    <w:rsid w:val="00F0582B"/>
    <w:rsid w:val="00F06DB5"/>
    <w:rsid w:val="00F06F1B"/>
    <w:rsid w:val="00F079CD"/>
    <w:rsid w:val="00F1071A"/>
    <w:rsid w:val="00F14B83"/>
    <w:rsid w:val="00F15AAB"/>
    <w:rsid w:val="00F160C2"/>
    <w:rsid w:val="00F227D3"/>
    <w:rsid w:val="00F23199"/>
    <w:rsid w:val="00F25060"/>
    <w:rsid w:val="00F25482"/>
    <w:rsid w:val="00F4280B"/>
    <w:rsid w:val="00F47535"/>
    <w:rsid w:val="00F4771B"/>
    <w:rsid w:val="00F50872"/>
    <w:rsid w:val="00F50EA3"/>
    <w:rsid w:val="00F52045"/>
    <w:rsid w:val="00F524F3"/>
    <w:rsid w:val="00F5444F"/>
    <w:rsid w:val="00F54483"/>
    <w:rsid w:val="00F54C70"/>
    <w:rsid w:val="00F61AD8"/>
    <w:rsid w:val="00F6368F"/>
    <w:rsid w:val="00F67F9C"/>
    <w:rsid w:val="00F72257"/>
    <w:rsid w:val="00F84120"/>
    <w:rsid w:val="00F90E0A"/>
    <w:rsid w:val="00F9213C"/>
    <w:rsid w:val="00F926EC"/>
    <w:rsid w:val="00F92F86"/>
    <w:rsid w:val="00F93E6D"/>
    <w:rsid w:val="00F94119"/>
    <w:rsid w:val="00F96A1F"/>
    <w:rsid w:val="00FA392B"/>
    <w:rsid w:val="00FA67FD"/>
    <w:rsid w:val="00FA6F64"/>
    <w:rsid w:val="00FB0E75"/>
    <w:rsid w:val="00FB1963"/>
    <w:rsid w:val="00FB45C8"/>
    <w:rsid w:val="00FB6051"/>
    <w:rsid w:val="00FC19B1"/>
    <w:rsid w:val="00FC2257"/>
    <w:rsid w:val="00FC6DDA"/>
    <w:rsid w:val="00FD3457"/>
    <w:rsid w:val="00FD5454"/>
    <w:rsid w:val="00FD5ABE"/>
    <w:rsid w:val="00FD6D3B"/>
    <w:rsid w:val="00FE08C4"/>
    <w:rsid w:val="00FE14A5"/>
    <w:rsid w:val="00FE1F11"/>
    <w:rsid w:val="00FE3AD7"/>
    <w:rsid w:val="00FF255B"/>
    <w:rsid w:val="00FF2D79"/>
    <w:rsid w:val="00FF3198"/>
    <w:rsid w:val="00FF4CD3"/>
    <w:rsid w:val="0494135E"/>
    <w:rsid w:val="060F1D81"/>
    <w:rsid w:val="06195D11"/>
    <w:rsid w:val="070C4D83"/>
    <w:rsid w:val="0BD50B1B"/>
    <w:rsid w:val="0EBB3103"/>
    <w:rsid w:val="104905F1"/>
    <w:rsid w:val="11B9E02E"/>
    <w:rsid w:val="12971EE6"/>
    <w:rsid w:val="1B54F168"/>
    <w:rsid w:val="1B6D0B98"/>
    <w:rsid w:val="1BE35CAB"/>
    <w:rsid w:val="1E92C47F"/>
    <w:rsid w:val="21AAC0F8"/>
    <w:rsid w:val="21AF918F"/>
    <w:rsid w:val="2386DAAC"/>
    <w:rsid w:val="28779F27"/>
    <w:rsid w:val="29B945AD"/>
    <w:rsid w:val="2B75A5DF"/>
    <w:rsid w:val="2D7180D4"/>
    <w:rsid w:val="30D70E41"/>
    <w:rsid w:val="36F592A2"/>
    <w:rsid w:val="39803991"/>
    <w:rsid w:val="3B18CD56"/>
    <w:rsid w:val="3BD9A2C7"/>
    <w:rsid w:val="3CEEE458"/>
    <w:rsid w:val="3EB4B556"/>
    <w:rsid w:val="3FA4BB5D"/>
    <w:rsid w:val="40BF7736"/>
    <w:rsid w:val="41D9810E"/>
    <w:rsid w:val="42A95484"/>
    <w:rsid w:val="487A8D02"/>
    <w:rsid w:val="48D3440C"/>
    <w:rsid w:val="4E67F592"/>
    <w:rsid w:val="4EE8715E"/>
    <w:rsid w:val="528FEE35"/>
    <w:rsid w:val="539CDD46"/>
    <w:rsid w:val="579AA829"/>
    <w:rsid w:val="5A67BB56"/>
    <w:rsid w:val="5CF015F2"/>
    <w:rsid w:val="5F472C70"/>
    <w:rsid w:val="62211CEE"/>
    <w:rsid w:val="6EFB97B0"/>
    <w:rsid w:val="72CA66B7"/>
    <w:rsid w:val="73FBF12A"/>
    <w:rsid w:val="745EF01B"/>
    <w:rsid w:val="76F469A7"/>
    <w:rsid w:val="7785CF19"/>
    <w:rsid w:val="778C61D4"/>
    <w:rsid w:val="782034E0"/>
    <w:rsid w:val="78D89651"/>
    <w:rsid w:val="7AB771EF"/>
    <w:rsid w:val="7C993EFD"/>
    <w:rsid w:val="7CEF1A75"/>
    <w:rsid w:val="7DC3FCC4"/>
    <w:rsid w:val="7FFE8D9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525DC7A5"/>
  <w15:docId w15:val="{2347FC0A-0567-4F3F-99E3-8D3A11441F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D5BE3"/>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BD5BE3"/>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7256E4"/>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27BF0"/>
    <w:pPr>
      <w:tabs>
        <w:tab w:val="center" w:pos="4680"/>
        <w:tab w:val="right" w:pos="9360"/>
      </w:tabs>
      <w:spacing w:after="0" w:line="240" w:lineRule="auto"/>
    </w:pPr>
  </w:style>
  <w:style w:type="character" w:customStyle="1" w:styleId="HeaderChar">
    <w:name w:val="Header Char"/>
    <w:basedOn w:val="DefaultParagraphFont"/>
    <w:link w:val="Header"/>
    <w:uiPriority w:val="99"/>
    <w:rsid w:val="00227BF0"/>
  </w:style>
  <w:style w:type="paragraph" w:styleId="Footer">
    <w:name w:val="footer"/>
    <w:basedOn w:val="Normal"/>
    <w:link w:val="FooterChar"/>
    <w:uiPriority w:val="99"/>
    <w:unhideWhenUsed/>
    <w:rsid w:val="00227BF0"/>
    <w:pPr>
      <w:tabs>
        <w:tab w:val="center" w:pos="4680"/>
        <w:tab w:val="right" w:pos="9360"/>
      </w:tabs>
      <w:spacing w:after="0" w:line="240" w:lineRule="auto"/>
    </w:pPr>
  </w:style>
  <w:style w:type="character" w:customStyle="1" w:styleId="FooterChar">
    <w:name w:val="Footer Char"/>
    <w:basedOn w:val="DefaultParagraphFont"/>
    <w:link w:val="Footer"/>
    <w:uiPriority w:val="99"/>
    <w:rsid w:val="00227BF0"/>
  </w:style>
  <w:style w:type="paragraph" w:styleId="ListParagraph">
    <w:name w:val="List Paragraph"/>
    <w:basedOn w:val="Normal"/>
    <w:uiPriority w:val="34"/>
    <w:qFormat/>
    <w:rsid w:val="002D663B"/>
    <w:pPr>
      <w:ind w:left="720"/>
      <w:contextualSpacing/>
    </w:pPr>
  </w:style>
  <w:style w:type="character" w:styleId="Hyperlink">
    <w:name w:val="Hyperlink"/>
    <w:basedOn w:val="DefaultParagraphFont"/>
    <w:uiPriority w:val="99"/>
    <w:unhideWhenUsed/>
    <w:rsid w:val="002D663B"/>
    <w:rPr>
      <w:color w:val="0563C1" w:themeColor="hyperlink"/>
      <w:u w:val="single"/>
    </w:rPr>
  </w:style>
  <w:style w:type="paragraph" w:styleId="BalloonText">
    <w:name w:val="Balloon Text"/>
    <w:basedOn w:val="Normal"/>
    <w:link w:val="BalloonTextChar"/>
    <w:uiPriority w:val="99"/>
    <w:semiHidden/>
    <w:unhideWhenUsed/>
    <w:rsid w:val="00B3292B"/>
    <w:pPr>
      <w:spacing w:after="0" w:line="240" w:lineRule="auto"/>
    </w:pPr>
    <w:rPr>
      <w:rFonts w:ascii="Lucida Grande" w:hAnsi="Lucida Grande"/>
      <w:sz w:val="18"/>
      <w:szCs w:val="18"/>
    </w:rPr>
  </w:style>
  <w:style w:type="character" w:customStyle="1" w:styleId="BalloonTextChar">
    <w:name w:val="Balloon Text Char"/>
    <w:basedOn w:val="DefaultParagraphFont"/>
    <w:link w:val="BalloonText"/>
    <w:uiPriority w:val="99"/>
    <w:semiHidden/>
    <w:rsid w:val="00B3292B"/>
    <w:rPr>
      <w:rFonts w:ascii="Lucida Grande" w:hAnsi="Lucida Grande"/>
      <w:sz w:val="18"/>
      <w:szCs w:val="18"/>
    </w:rPr>
  </w:style>
  <w:style w:type="table" w:styleId="TableGrid">
    <w:name w:val="Table Grid"/>
    <w:basedOn w:val="TableNormal"/>
    <w:uiPriority w:val="39"/>
    <w:rsid w:val="0058072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B8504C"/>
    <w:rPr>
      <w:sz w:val="18"/>
      <w:szCs w:val="18"/>
    </w:rPr>
  </w:style>
  <w:style w:type="paragraph" w:styleId="CommentText">
    <w:name w:val="annotation text"/>
    <w:basedOn w:val="Normal"/>
    <w:link w:val="CommentTextChar"/>
    <w:uiPriority w:val="99"/>
    <w:semiHidden/>
    <w:unhideWhenUsed/>
    <w:rsid w:val="00B8504C"/>
    <w:pPr>
      <w:spacing w:line="240" w:lineRule="auto"/>
    </w:pPr>
    <w:rPr>
      <w:sz w:val="24"/>
      <w:szCs w:val="24"/>
    </w:rPr>
  </w:style>
  <w:style w:type="character" w:customStyle="1" w:styleId="CommentTextChar">
    <w:name w:val="Comment Text Char"/>
    <w:basedOn w:val="DefaultParagraphFont"/>
    <w:link w:val="CommentText"/>
    <w:uiPriority w:val="99"/>
    <w:semiHidden/>
    <w:rsid w:val="00B8504C"/>
    <w:rPr>
      <w:sz w:val="24"/>
      <w:szCs w:val="24"/>
    </w:rPr>
  </w:style>
  <w:style w:type="paragraph" w:styleId="CommentSubject">
    <w:name w:val="annotation subject"/>
    <w:basedOn w:val="CommentText"/>
    <w:next w:val="CommentText"/>
    <w:link w:val="CommentSubjectChar"/>
    <w:uiPriority w:val="99"/>
    <w:semiHidden/>
    <w:unhideWhenUsed/>
    <w:rsid w:val="00B8504C"/>
    <w:rPr>
      <w:b/>
      <w:bCs/>
      <w:sz w:val="20"/>
      <w:szCs w:val="20"/>
    </w:rPr>
  </w:style>
  <w:style w:type="character" w:customStyle="1" w:styleId="CommentSubjectChar">
    <w:name w:val="Comment Subject Char"/>
    <w:basedOn w:val="CommentTextChar"/>
    <w:link w:val="CommentSubject"/>
    <w:uiPriority w:val="99"/>
    <w:semiHidden/>
    <w:rsid w:val="00B8504C"/>
    <w:rPr>
      <w:b/>
      <w:bCs/>
      <w:sz w:val="20"/>
      <w:szCs w:val="20"/>
    </w:rPr>
  </w:style>
  <w:style w:type="paragraph" w:styleId="NoSpacing">
    <w:name w:val="No Spacing"/>
    <w:link w:val="NoSpacingChar"/>
    <w:uiPriority w:val="1"/>
    <w:qFormat/>
    <w:rsid w:val="00C85E19"/>
    <w:pPr>
      <w:spacing w:after="0" w:line="240" w:lineRule="auto"/>
    </w:pPr>
    <w:rPr>
      <w:rFonts w:eastAsiaTheme="minorEastAsia"/>
    </w:rPr>
  </w:style>
  <w:style w:type="character" w:customStyle="1" w:styleId="NoSpacingChar">
    <w:name w:val="No Spacing Char"/>
    <w:basedOn w:val="DefaultParagraphFont"/>
    <w:link w:val="NoSpacing"/>
    <w:uiPriority w:val="1"/>
    <w:rsid w:val="00C85E19"/>
    <w:rPr>
      <w:rFonts w:eastAsiaTheme="minorEastAsia"/>
    </w:rPr>
  </w:style>
  <w:style w:type="paragraph" w:styleId="Title">
    <w:name w:val="Title"/>
    <w:basedOn w:val="Normal"/>
    <w:next w:val="Normal"/>
    <w:link w:val="TitleChar"/>
    <w:uiPriority w:val="10"/>
    <w:qFormat/>
    <w:rsid w:val="00BD5BE3"/>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D5BE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D5BE3"/>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sid w:val="00BD5BE3"/>
    <w:rPr>
      <w:rFonts w:eastAsiaTheme="minorEastAsia"/>
      <w:color w:val="5A5A5A" w:themeColor="text1" w:themeTint="A5"/>
      <w:spacing w:val="15"/>
    </w:rPr>
  </w:style>
  <w:style w:type="character" w:customStyle="1" w:styleId="Heading1Char">
    <w:name w:val="Heading 1 Char"/>
    <w:basedOn w:val="DefaultParagraphFont"/>
    <w:link w:val="Heading1"/>
    <w:uiPriority w:val="9"/>
    <w:rsid w:val="00BD5BE3"/>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sid w:val="00BD5BE3"/>
    <w:rPr>
      <w:rFonts w:asciiTheme="majorHAnsi" w:eastAsiaTheme="majorEastAsia" w:hAnsiTheme="majorHAnsi" w:cstheme="majorBidi"/>
      <w:color w:val="2E74B5" w:themeColor="accent1" w:themeShade="BF"/>
      <w:sz w:val="26"/>
      <w:szCs w:val="26"/>
    </w:rPr>
  </w:style>
  <w:style w:type="character" w:styleId="FollowedHyperlink">
    <w:name w:val="FollowedHyperlink"/>
    <w:basedOn w:val="DefaultParagraphFont"/>
    <w:uiPriority w:val="99"/>
    <w:semiHidden/>
    <w:unhideWhenUsed/>
    <w:rsid w:val="00516214"/>
    <w:rPr>
      <w:color w:val="954F72" w:themeColor="followedHyperlink"/>
      <w:u w:val="single"/>
    </w:rPr>
  </w:style>
  <w:style w:type="paragraph" w:styleId="TOCHeading">
    <w:name w:val="TOC Heading"/>
    <w:basedOn w:val="Heading1"/>
    <w:next w:val="Normal"/>
    <w:uiPriority w:val="39"/>
    <w:unhideWhenUsed/>
    <w:qFormat/>
    <w:rsid w:val="0006469A"/>
    <w:pPr>
      <w:outlineLvl w:val="9"/>
    </w:pPr>
  </w:style>
  <w:style w:type="paragraph" w:styleId="TOC1">
    <w:name w:val="toc 1"/>
    <w:basedOn w:val="Normal"/>
    <w:next w:val="Normal"/>
    <w:autoRedefine/>
    <w:uiPriority w:val="39"/>
    <w:unhideWhenUsed/>
    <w:rsid w:val="0006469A"/>
    <w:pPr>
      <w:spacing w:after="100"/>
    </w:pPr>
  </w:style>
  <w:style w:type="character" w:styleId="Emphasis">
    <w:name w:val="Emphasis"/>
    <w:basedOn w:val="DefaultParagraphFont"/>
    <w:uiPriority w:val="20"/>
    <w:qFormat/>
    <w:rsid w:val="0093295B"/>
    <w:rPr>
      <w:i/>
      <w:iCs/>
    </w:rPr>
  </w:style>
  <w:style w:type="character" w:styleId="UnresolvedMention">
    <w:name w:val="Unresolved Mention"/>
    <w:basedOn w:val="DefaultParagraphFont"/>
    <w:uiPriority w:val="99"/>
    <w:semiHidden/>
    <w:unhideWhenUsed/>
    <w:rsid w:val="00CE315A"/>
    <w:rPr>
      <w:color w:val="605E5C"/>
      <w:shd w:val="clear" w:color="auto" w:fill="E1DFDD"/>
    </w:rPr>
  </w:style>
  <w:style w:type="character" w:customStyle="1" w:styleId="QuoteChar">
    <w:name w:val="Quote Char"/>
    <w:basedOn w:val="DefaultParagraphFont"/>
    <w:link w:val="Quote"/>
    <w:uiPriority w:val="29"/>
    <w:rsid w:val="00B75F0A"/>
    <w:rPr>
      <w:i/>
      <w:iCs/>
      <w:color w:val="404040" w:themeColor="text1" w:themeTint="BF"/>
    </w:rPr>
  </w:style>
  <w:style w:type="paragraph" w:styleId="Quote">
    <w:name w:val="Quote"/>
    <w:basedOn w:val="Normal"/>
    <w:next w:val="Normal"/>
    <w:link w:val="QuoteChar"/>
    <w:uiPriority w:val="29"/>
    <w:qFormat/>
    <w:rsid w:val="00B75F0A"/>
    <w:pPr>
      <w:pBdr>
        <w:top w:val="single" w:sz="24" w:space="3" w:color="4472C4" w:themeColor="accent5"/>
        <w:bottom w:val="single" w:sz="24" w:space="3" w:color="4472C4" w:themeColor="accent5"/>
      </w:pBdr>
      <w:spacing w:before="200"/>
      <w:ind w:left="864" w:right="864"/>
      <w:jc w:val="center"/>
    </w:pPr>
    <w:rPr>
      <w:i/>
      <w:iCs/>
      <w:color w:val="404040" w:themeColor="text1" w:themeTint="BF"/>
    </w:rPr>
  </w:style>
  <w:style w:type="character" w:customStyle="1" w:styleId="Heading3Char">
    <w:name w:val="Heading 3 Char"/>
    <w:basedOn w:val="DefaultParagraphFont"/>
    <w:link w:val="Heading3"/>
    <w:uiPriority w:val="9"/>
    <w:rsid w:val="007256E4"/>
    <w:rPr>
      <w:rFonts w:asciiTheme="majorHAnsi" w:eastAsiaTheme="majorEastAsia" w:hAnsiTheme="majorHAnsi" w:cstheme="majorBidi"/>
      <w:color w:val="1F4D78" w:themeColor="accent1" w:themeShade="7F"/>
      <w:sz w:val="24"/>
      <w:szCs w:val="24"/>
    </w:rPr>
  </w:style>
  <w:style w:type="paragraph" w:styleId="TOC2">
    <w:name w:val="toc 2"/>
    <w:basedOn w:val="Normal"/>
    <w:next w:val="Normal"/>
    <w:autoRedefine/>
    <w:uiPriority w:val="39"/>
    <w:unhideWhenUsed/>
    <w:rsid w:val="00377496"/>
    <w:pPr>
      <w:spacing w:after="100"/>
      <w:ind w:left="2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0397955">
      <w:bodyDiv w:val="1"/>
      <w:marLeft w:val="0"/>
      <w:marRight w:val="0"/>
      <w:marTop w:val="0"/>
      <w:marBottom w:val="0"/>
      <w:divBdr>
        <w:top w:val="none" w:sz="0" w:space="0" w:color="auto"/>
        <w:left w:val="none" w:sz="0" w:space="0" w:color="auto"/>
        <w:bottom w:val="none" w:sz="0" w:space="0" w:color="auto"/>
        <w:right w:val="none" w:sz="0" w:space="0" w:color="auto"/>
      </w:divBdr>
    </w:div>
    <w:div w:id="142162386">
      <w:bodyDiv w:val="1"/>
      <w:marLeft w:val="0"/>
      <w:marRight w:val="0"/>
      <w:marTop w:val="0"/>
      <w:marBottom w:val="0"/>
      <w:divBdr>
        <w:top w:val="none" w:sz="0" w:space="0" w:color="auto"/>
        <w:left w:val="none" w:sz="0" w:space="0" w:color="auto"/>
        <w:bottom w:val="none" w:sz="0" w:space="0" w:color="auto"/>
        <w:right w:val="none" w:sz="0" w:space="0" w:color="auto"/>
      </w:divBdr>
    </w:div>
    <w:div w:id="284628245">
      <w:bodyDiv w:val="1"/>
      <w:marLeft w:val="0"/>
      <w:marRight w:val="0"/>
      <w:marTop w:val="0"/>
      <w:marBottom w:val="0"/>
      <w:divBdr>
        <w:top w:val="none" w:sz="0" w:space="0" w:color="auto"/>
        <w:left w:val="none" w:sz="0" w:space="0" w:color="auto"/>
        <w:bottom w:val="none" w:sz="0" w:space="0" w:color="auto"/>
        <w:right w:val="none" w:sz="0" w:space="0" w:color="auto"/>
      </w:divBdr>
    </w:div>
    <w:div w:id="633146165">
      <w:bodyDiv w:val="1"/>
      <w:marLeft w:val="0"/>
      <w:marRight w:val="0"/>
      <w:marTop w:val="0"/>
      <w:marBottom w:val="0"/>
      <w:divBdr>
        <w:top w:val="none" w:sz="0" w:space="0" w:color="auto"/>
        <w:left w:val="none" w:sz="0" w:space="0" w:color="auto"/>
        <w:bottom w:val="none" w:sz="0" w:space="0" w:color="auto"/>
        <w:right w:val="none" w:sz="0" w:space="0" w:color="auto"/>
      </w:divBdr>
    </w:div>
    <w:div w:id="759062422">
      <w:bodyDiv w:val="1"/>
      <w:marLeft w:val="0"/>
      <w:marRight w:val="0"/>
      <w:marTop w:val="0"/>
      <w:marBottom w:val="0"/>
      <w:divBdr>
        <w:top w:val="none" w:sz="0" w:space="0" w:color="auto"/>
        <w:left w:val="none" w:sz="0" w:space="0" w:color="auto"/>
        <w:bottom w:val="none" w:sz="0" w:space="0" w:color="auto"/>
        <w:right w:val="none" w:sz="0" w:space="0" w:color="auto"/>
      </w:divBdr>
    </w:div>
    <w:div w:id="1119490925">
      <w:bodyDiv w:val="1"/>
      <w:marLeft w:val="0"/>
      <w:marRight w:val="0"/>
      <w:marTop w:val="0"/>
      <w:marBottom w:val="0"/>
      <w:divBdr>
        <w:top w:val="none" w:sz="0" w:space="0" w:color="auto"/>
        <w:left w:val="none" w:sz="0" w:space="0" w:color="auto"/>
        <w:bottom w:val="none" w:sz="0" w:space="0" w:color="auto"/>
        <w:right w:val="none" w:sz="0" w:space="0" w:color="auto"/>
      </w:divBdr>
    </w:div>
    <w:div w:id="1184518885">
      <w:bodyDiv w:val="1"/>
      <w:marLeft w:val="0"/>
      <w:marRight w:val="0"/>
      <w:marTop w:val="0"/>
      <w:marBottom w:val="0"/>
      <w:divBdr>
        <w:top w:val="none" w:sz="0" w:space="0" w:color="auto"/>
        <w:left w:val="none" w:sz="0" w:space="0" w:color="auto"/>
        <w:bottom w:val="none" w:sz="0" w:space="0" w:color="auto"/>
        <w:right w:val="none" w:sz="0" w:space="0" w:color="auto"/>
      </w:divBdr>
    </w:div>
    <w:div w:id="1228496928">
      <w:bodyDiv w:val="1"/>
      <w:marLeft w:val="0"/>
      <w:marRight w:val="0"/>
      <w:marTop w:val="0"/>
      <w:marBottom w:val="0"/>
      <w:divBdr>
        <w:top w:val="none" w:sz="0" w:space="0" w:color="auto"/>
        <w:left w:val="none" w:sz="0" w:space="0" w:color="auto"/>
        <w:bottom w:val="none" w:sz="0" w:space="0" w:color="auto"/>
        <w:right w:val="none" w:sz="0" w:space="0" w:color="auto"/>
      </w:divBdr>
    </w:div>
    <w:div w:id="1593704536">
      <w:bodyDiv w:val="1"/>
      <w:marLeft w:val="0"/>
      <w:marRight w:val="0"/>
      <w:marTop w:val="0"/>
      <w:marBottom w:val="0"/>
      <w:divBdr>
        <w:top w:val="none" w:sz="0" w:space="0" w:color="auto"/>
        <w:left w:val="none" w:sz="0" w:space="0" w:color="auto"/>
        <w:bottom w:val="none" w:sz="0" w:space="0" w:color="auto"/>
        <w:right w:val="none" w:sz="0" w:space="0" w:color="auto"/>
      </w:divBdr>
    </w:div>
    <w:div w:id="20149174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affordablelearninggeorgia.org/about/r17_grantees" TargetMode="External"/><Relationship Id="rId18" Type="http://schemas.openxmlformats.org/officeDocument/2006/relationships/image" Target="media/image2.png"/><Relationship Id="rId26"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hyperlink" Target="https://www.affordablelearninggeorgia.org/documents/2018_USG_OER_Survey.pdf" TargetMode="External"/><Relationship Id="rId7" Type="http://schemas.openxmlformats.org/officeDocument/2006/relationships/settings" Target="settings.xml"/><Relationship Id="rId12" Type="http://schemas.openxmlformats.org/officeDocument/2006/relationships/hyperlink" Target="https://www.affordablelearninggeorgia.org/about/r16_grantees/" TargetMode="External"/><Relationship Id="rId17" Type="http://schemas.openxmlformats.org/officeDocument/2006/relationships/hyperlink" Target="http://openedgroup.org/coup" TargetMode="External"/><Relationship Id="rId25"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yperlink" Target="https://oer.galileo.usg.edu/" TargetMode="External"/><Relationship Id="rId20" Type="http://schemas.openxmlformats.org/officeDocument/2006/relationships/image" Target="media/image4.png"/><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g"/><Relationship Id="rId24"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hyperlink" Target="https://alg.manifoldapp.org/" TargetMode="External"/><Relationship Id="rId23" Type="http://schemas.openxmlformats.org/officeDocument/2006/relationships/header" Target="header2.xml"/><Relationship Id="rId28"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image" Target="media/image3.png"/><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affordablelearninggeorgia.org/about/r18_grantees" TargetMode="External"/><Relationship Id="rId22" Type="http://schemas.openxmlformats.org/officeDocument/2006/relationships/header" Target="header1.xml"/><Relationship Id="rId27" Type="http://schemas.openxmlformats.org/officeDocument/2006/relationships/footer" Target="footer3.xml"/></Relationships>
</file>

<file path=word/_rels/footer2.xml.rels><?xml version="1.0" encoding="UTF-8" standalone="yes"?>
<Relationships xmlns="http://schemas.openxmlformats.org/package/2006/relationships"><Relationship Id="rId2" Type="http://schemas.openxmlformats.org/officeDocument/2006/relationships/image" Target="media/image5.png"/><Relationship Id="rId1" Type="http://schemas.openxmlformats.org/officeDocument/2006/relationships/hyperlink" Target="https://creativecommons.org/licenses/by/4.0/" TargetMode="External"/></Relationships>
</file>

<file path=word/_rels/header3.xml.rels><?xml version="1.0" encoding="UTF-8" standalone="yes"?>
<Relationships xmlns="http://schemas.openxmlformats.org/package/2006/relationships"><Relationship Id="rId1" Type="http://schemas.openxmlformats.org/officeDocument/2006/relationships/image" Target="media/image6.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222C76DF9BD8349B0CA3C9A1AA4C548" ma:contentTypeVersion="112" ma:contentTypeDescription="Create a new document." ma:contentTypeScope="" ma:versionID="3ba740bbfea08ad42b5fb892d4577724">
  <xsd:schema xmlns:xsd="http://www.w3.org/2001/XMLSchema" xmlns:xs="http://www.w3.org/2001/XMLSchema" xmlns:p="http://schemas.microsoft.com/office/2006/metadata/properties" xmlns:ns3="http://schemas.microsoft.com/sharepoint/v4" xmlns:ns4="9fff0862-dda6-4fd7-9437-296e7a0fcd45" xmlns:ns5="7dcc4a76-b6f0-4a5c-8242-557922f7abb0" targetNamespace="http://schemas.microsoft.com/office/2006/metadata/properties" ma:root="true" ma:fieldsID="f7fd287cc537a47f0d39eda5b7439aef" ns3:_="" ns4:_="" ns5:_="">
    <xsd:import namespace="http://schemas.microsoft.com/sharepoint/v4"/>
    <xsd:import namespace="9fff0862-dda6-4fd7-9437-296e7a0fcd45"/>
    <xsd:import namespace="7dcc4a76-b6f0-4a5c-8242-557922f7abb0"/>
    <xsd:element name="properties">
      <xsd:complexType>
        <xsd:sequence>
          <xsd:element name="documentManagement">
            <xsd:complexType>
              <xsd:all>
                <xsd:element ref="ns3:IconOverlay" minOccurs="0"/>
                <xsd:element ref="ns4:MediaServiceMetadata" minOccurs="0"/>
                <xsd:element ref="ns4:MediaServiceFastMetadata" minOccurs="0"/>
                <xsd:element ref="ns4:MediaServiceAutoTags" minOccurs="0"/>
                <xsd:element ref="ns4:MediaServiceDateTaken" minOccurs="0"/>
                <xsd:element ref="ns5:SharedWithUsers" minOccurs="0"/>
                <xsd:element ref="ns5:SharedWithDetails" minOccurs="0"/>
                <xsd:element ref="ns4:MediaServiceOCR" minOccurs="0"/>
                <xsd:element ref="ns4:MediaServiceEventHashCode" minOccurs="0"/>
                <xsd:element ref="ns4:MediaServiceGenerationTime" minOccurs="0"/>
                <xsd:element ref="ns4:MediaServiceLocation"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9" nillable="true" ma:displayName="IconOverlay" ma:hidden="true" ma:internalName="IconOverlay">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fff0862-dda6-4fd7-9437-296e7a0fcd45" elementFormDefault="qualified">
    <xsd:import namespace="http://schemas.microsoft.com/office/2006/documentManagement/types"/>
    <xsd:import namespace="http://schemas.microsoft.com/office/infopath/2007/PartnerControls"/>
    <xsd:element name="MediaServiceMetadata" ma:index="10" nillable="true" ma:displayName="MediaServiceMetadata" ma:description="" ma:hidden="true" ma:internalName="MediaServiceMetadata" ma:readOnly="true">
      <xsd:simpleType>
        <xsd:restriction base="dms:Note"/>
      </xsd:simpleType>
    </xsd:element>
    <xsd:element name="MediaServiceFastMetadata" ma:index="11" nillable="true" ma:displayName="MediaServiceFastMetadata" ma:description="" ma:hidden="true" ma:internalName="MediaServiceFastMetadata" ma:readOnly="true">
      <xsd:simpleType>
        <xsd:restriction base="dms:Note"/>
      </xsd:simpleType>
    </xsd:element>
    <xsd:element name="MediaServiceAutoTags" ma:index="12" nillable="true" ma:displayName="MediaServiceAutoTags" ma:description="" ma:internalName="MediaServiceAutoTags" ma:readOnly="true">
      <xsd:simpleType>
        <xsd:restriction base="dms:Text"/>
      </xsd:simpleType>
    </xsd:element>
    <xsd:element name="MediaServiceDateTaken" ma:index="13" nillable="true" ma:displayName="MediaServiceDateTaken" ma:description="" ma:hidden="true" ma:internalName="MediaServiceDateTaken" ma:readOnly="true">
      <xsd:simpleType>
        <xsd:restriction base="dms:Text"/>
      </xsd:simpleType>
    </xsd:element>
    <xsd:element name="MediaServiceOCR" ma:index="16" nillable="true" ma:displayName="MediaServiceOCR" ma:internalName="MediaServiceOCR" ma:readOnly="true">
      <xsd:simpleType>
        <xsd:restriction base="dms:Note">
          <xsd:maxLength value="255"/>
        </xsd:restriction>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ServiceAutoKeyPoints" ma:index="20" nillable="true" ma:displayName="MediaServiceAutoKeyPoints" ma:hidden="true" ma:internalName="MediaServiceAutoKeyPoints" ma:readOnly="true">
      <xsd:simpleType>
        <xsd:restriction base="dms:Note"/>
      </xsd:simpleType>
    </xsd:element>
    <xsd:element name="MediaServiceKeyPoints" ma:index="21"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dcc4a76-b6f0-4a5c-8242-557922f7abb0" elementFormDefault="qualified">
    <xsd:import namespace="http://schemas.microsoft.com/office/2006/documentManagement/types"/>
    <xsd:import namespace="http://schemas.microsoft.com/office/infopath/2007/PartnerControls"/>
    <xsd:element name="SharedWithUsers" ma:index="14"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description=""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ma:index="8" ma:displayName="Keywords"/>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IconOverlay xmlns="http://schemas.microsoft.com/sharepoint/v4"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C93FA50-420D-438C-85F3-56BFC452F98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4"/>
    <ds:schemaRef ds:uri="9fff0862-dda6-4fd7-9437-296e7a0fcd45"/>
    <ds:schemaRef ds:uri="7dcc4a76-b6f0-4a5c-8242-557922f7abb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1854D09-518C-4012-8628-3A2C0485397C}">
  <ds:schemaRefs>
    <ds:schemaRef ds:uri="http://schemas.openxmlformats.org/officeDocument/2006/bibliography"/>
  </ds:schemaRefs>
</ds:datastoreItem>
</file>

<file path=customXml/itemProps3.xml><?xml version="1.0" encoding="utf-8"?>
<ds:datastoreItem xmlns:ds="http://schemas.openxmlformats.org/officeDocument/2006/customXml" ds:itemID="{F225ACF1-79E6-4305-A50E-DAC04E4B7E34}">
  <ds:schemaRefs>
    <ds:schemaRef ds:uri="http://schemas.microsoft.com/office/2006/metadata/properties"/>
    <ds:schemaRef ds:uri="http://schemas.microsoft.com/office/infopath/2007/PartnerControls"/>
    <ds:schemaRef ds:uri="http://schemas.microsoft.com/sharepoint/v4"/>
  </ds:schemaRefs>
</ds:datastoreItem>
</file>

<file path=customXml/itemProps4.xml><?xml version="1.0" encoding="utf-8"?>
<ds:datastoreItem xmlns:ds="http://schemas.openxmlformats.org/officeDocument/2006/customXml" ds:itemID="{3074D6DC-DC6D-4A1B-94B0-22AC20D3C6D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186</TotalTime>
  <Pages>11</Pages>
  <Words>3044</Words>
  <Characters>17352</Characters>
  <Application>Microsoft Office Word</Application>
  <DocSecurity>0</DocSecurity>
  <Lines>144</Lines>
  <Paragraphs>40</Paragraphs>
  <ScaleCrop>false</ScaleCrop>
  <Company>Valdosta State University</Company>
  <LinksUpToDate>false</LinksUpToDate>
  <CharactersWithSpaces>20356</CharactersWithSpaces>
  <SharedDoc>false</SharedDoc>
  <HLinks>
    <vt:vector size="42" baseType="variant">
      <vt:variant>
        <vt:i4>3866628</vt:i4>
      </vt:variant>
      <vt:variant>
        <vt:i4>18</vt:i4>
      </vt:variant>
      <vt:variant>
        <vt:i4>0</vt:i4>
      </vt:variant>
      <vt:variant>
        <vt:i4>5</vt:i4>
      </vt:variant>
      <vt:variant>
        <vt:lpwstr>https://www.affordablelearninggeorgia.org/documents/2018_USG_OER_Survey.pdf</vt:lpwstr>
      </vt:variant>
      <vt:variant>
        <vt:lpwstr/>
      </vt:variant>
      <vt:variant>
        <vt:i4>2228328</vt:i4>
      </vt:variant>
      <vt:variant>
        <vt:i4>15</vt:i4>
      </vt:variant>
      <vt:variant>
        <vt:i4>0</vt:i4>
      </vt:variant>
      <vt:variant>
        <vt:i4>5</vt:i4>
      </vt:variant>
      <vt:variant>
        <vt:lpwstr>http://openedgroup.org/coup</vt:lpwstr>
      </vt:variant>
      <vt:variant>
        <vt:lpwstr/>
      </vt:variant>
      <vt:variant>
        <vt:i4>983127</vt:i4>
      </vt:variant>
      <vt:variant>
        <vt:i4>12</vt:i4>
      </vt:variant>
      <vt:variant>
        <vt:i4>0</vt:i4>
      </vt:variant>
      <vt:variant>
        <vt:i4>5</vt:i4>
      </vt:variant>
      <vt:variant>
        <vt:lpwstr>https://oer.galileo.usg.edu/</vt:lpwstr>
      </vt:variant>
      <vt:variant>
        <vt:lpwstr/>
      </vt:variant>
      <vt:variant>
        <vt:i4>5439574</vt:i4>
      </vt:variant>
      <vt:variant>
        <vt:i4>9</vt:i4>
      </vt:variant>
      <vt:variant>
        <vt:i4>0</vt:i4>
      </vt:variant>
      <vt:variant>
        <vt:i4>5</vt:i4>
      </vt:variant>
      <vt:variant>
        <vt:lpwstr>https://alg.manifoldapp.org/</vt:lpwstr>
      </vt:variant>
      <vt:variant>
        <vt:lpwstr/>
      </vt:variant>
      <vt:variant>
        <vt:i4>7405569</vt:i4>
      </vt:variant>
      <vt:variant>
        <vt:i4>6</vt:i4>
      </vt:variant>
      <vt:variant>
        <vt:i4>0</vt:i4>
      </vt:variant>
      <vt:variant>
        <vt:i4>5</vt:i4>
      </vt:variant>
      <vt:variant>
        <vt:lpwstr>http://www.affordablelearninggeorgia.org/about/r16_grantees</vt:lpwstr>
      </vt:variant>
      <vt:variant>
        <vt:lpwstr/>
      </vt:variant>
      <vt:variant>
        <vt:i4>7471105</vt:i4>
      </vt:variant>
      <vt:variant>
        <vt:i4>3</vt:i4>
      </vt:variant>
      <vt:variant>
        <vt:i4>0</vt:i4>
      </vt:variant>
      <vt:variant>
        <vt:i4>5</vt:i4>
      </vt:variant>
      <vt:variant>
        <vt:lpwstr>http://www.affordablelearninggeorgia.org/about/r15_grantees</vt:lpwstr>
      </vt:variant>
      <vt:variant>
        <vt:lpwstr/>
      </vt:variant>
      <vt:variant>
        <vt:i4>6946840</vt:i4>
      </vt:variant>
      <vt:variant>
        <vt:i4>0</vt:i4>
      </vt:variant>
      <vt:variant>
        <vt:i4>0</vt:i4>
      </vt:variant>
      <vt:variant>
        <vt:i4>5</vt:i4>
      </vt:variant>
      <vt:variant>
        <vt:lpwstr>https://www.affordablelearninggeorgia.org/about/r14_grantees/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Jeff Gallant</dc:creator>
  <cp:keywords/>
  <dc:description/>
  <cp:lastModifiedBy>Tiffani Tijerina</cp:lastModifiedBy>
  <cp:revision>358</cp:revision>
  <cp:lastPrinted>2016-07-25T15:29:00Z</cp:lastPrinted>
  <dcterms:created xsi:type="dcterms:W3CDTF">2021-05-11T22:18:00Z</dcterms:created>
  <dcterms:modified xsi:type="dcterms:W3CDTF">2022-03-16T12:48:00Z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0x0101007222C76DF9BD8349B0CA3C9A1AA4C548</vt:lpwstr>
  </property>
</Properties>
</file>