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w:t>
      </w:r>
      <w:proofErr w:type="gramStart"/>
      <w:r>
        <w:rPr>
          <w:i/>
          <w:iCs/>
        </w:rPr>
        <w:t>or</w:t>
      </w:r>
      <w:proofErr w:type="gramEnd"/>
      <w:r>
        <w:rPr>
          <w:i/>
          <w:iCs/>
        </w:rPr>
        <w:t xml:space="preserve"> Textbook Transformation Grants, if R17 or earlier)</w:t>
      </w:r>
    </w:p>
    <w:p w14:paraId="1D496630" w14:textId="310C6C2E"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074076D6" w:rsidR="00687254" w:rsidRDefault="00687254" w:rsidP="00687254">
      <w:pPr>
        <w:ind w:left="360"/>
        <w:rPr>
          <w:b/>
          <w:sz w:val="24"/>
          <w:szCs w:val="24"/>
        </w:rPr>
      </w:pPr>
      <w:r w:rsidRPr="004F2656">
        <w:rPr>
          <w:b/>
          <w:sz w:val="24"/>
          <w:szCs w:val="24"/>
        </w:rPr>
        <w:t>Date</w:t>
      </w:r>
      <w:r w:rsidR="003E1BCB" w:rsidRPr="004F2656">
        <w:rPr>
          <w:b/>
          <w:sz w:val="24"/>
          <w:szCs w:val="24"/>
        </w:rPr>
        <w:t>:</w:t>
      </w:r>
      <w:r w:rsidR="00B955FD">
        <w:rPr>
          <w:b/>
          <w:sz w:val="24"/>
          <w:szCs w:val="24"/>
        </w:rPr>
        <w:t xml:space="preserve"> December 15, 2021</w:t>
      </w:r>
    </w:p>
    <w:p w14:paraId="1CB2C16B" w14:textId="7C1BB99C" w:rsidR="0033401E" w:rsidRPr="004F2656" w:rsidRDefault="0033401E" w:rsidP="00687254">
      <w:pPr>
        <w:ind w:left="360"/>
        <w:rPr>
          <w:b/>
          <w:sz w:val="24"/>
          <w:szCs w:val="24"/>
        </w:rPr>
      </w:pPr>
      <w:r>
        <w:rPr>
          <w:b/>
          <w:sz w:val="24"/>
          <w:szCs w:val="24"/>
        </w:rPr>
        <w:t>Grant Round:</w:t>
      </w:r>
      <w:r w:rsidR="00B955FD">
        <w:rPr>
          <w:b/>
          <w:sz w:val="24"/>
          <w:szCs w:val="24"/>
        </w:rPr>
        <w:t xml:space="preserve"> 18</w:t>
      </w:r>
      <w:r w:rsidR="00B955FD">
        <w:rPr>
          <w:b/>
          <w:sz w:val="24"/>
          <w:szCs w:val="24"/>
        </w:rPr>
        <w:tab/>
      </w:r>
    </w:p>
    <w:p w14:paraId="41045492" w14:textId="37BAD3AD"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B955FD">
        <w:rPr>
          <w:b/>
          <w:sz w:val="24"/>
          <w:szCs w:val="24"/>
        </w:rPr>
        <w:t xml:space="preserve"> 554</w:t>
      </w:r>
    </w:p>
    <w:p w14:paraId="65C4B013" w14:textId="3981750E"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B955FD">
        <w:rPr>
          <w:b/>
          <w:sz w:val="24"/>
          <w:szCs w:val="24"/>
        </w:rPr>
        <w:t xml:space="preserve"> Gordon State College</w:t>
      </w:r>
    </w:p>
    <w:p w14:paraId="28FD8E6E" w14:textId="4D46FB63" w:rsidR="0033401E" w:rsidRPr="004F2656" w:rsidRDefault="0033401E" w:rsidP="0033401E">
      <w:pPr>
        <w:ind w:left="360"/>
        <w:rPr>
          <w:b/>
          <w:sz w:val="24"/>
          <w:szCs w:val="24"/>
        </w:rPr>
      </w:pPr>
      <w:r w:rsidRPr="004F2656">
        <w:rPr>
          <w:b/>
          <w:sz w:val="24"/>
          <w:szCs w:val="24"/>
        </w:rPr>
        <w:t>Project Lead:</w:t>
      </w:r>
      <w:r w:rsidR="00B955FD">
        <w:rPr>
          <w:b/>
          <w:sz w:val="24"/>
          <w:szCs w:val="24"/>
        </w:rPr>
        <w:t xml:space="preserve"> Jessica Traylor, Assistant Professor; Business, History &amp; Social Sciences; Gordon State College, </w:t>
      </w:r>
      <w:hyperlink r:id="rId9" w:history="1">
        <w:r w:rsidR="00B955FD" w:rsidRPr="006B7B2C">
          <w:rPr>
            <w:rStyle w:val="Hyperlink"/>
            <w:b/>
            <w:sz w:val="24"/>
            <w:szCs w:val="24"/>
          </w:rPr>
          <w:t>jtraylor1@gordonstate.edu</w:t>
        </w:r>
      </w:hyperlink>
      <w:r w:rsidR="00B955FD">
        <w:rPr>
          <w:b/>
          <w:sz w:val="24"/>
          <w:szCs w:val="24"/>
        </w:rPr>
        <w:t xml:space="preserve"> </w:t>
      </w:r>
    </w:p>
    <w:p w14:paraId="0F9682E5" w14:textId="77777777" w:rsidR="00B955FD"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B955FD">
        <w:rPr>
          <w:b/>
          <w:sz w:val="24"/>
          <w:szCs w:val="24"/>
        </w:rPr>
        <w:t xml:space="preserve"> </w:t>
      </w:r>
    </w:p>
    <w:p w14:paraId="6A7C5B5B" w14:textId="402893E7" w:rsidR="00687254" w:rsidRDefault="00B955FD" w:rsidP="00B955FD">
      <w:pPr>
        <w:pStyle w:val="ListParagraph"/>
        <w:numPr>
          <w:ilvl w:val="0"/>
          <w:numId w:val="20"/>
        </w:numPr>
        <w:rPr>
          <w:b/>
          <w:sz w:val="24"/>
          <w:szCs w:val="24"/>
        </w:rPr>
      </w:pPr>
      <w:r w:rsidRPr="00B955FD">
        <w:rPr>
          <w:b/>
          <w:sz w:val="24"/>
          <w:szCs w:val="24"/>
        </w:rPr>
        <w:t>Jane-Marie McKinney, Assistant Professor</w:t>
      </w:r>
      <w:r>
        <w:rPr>
          <w:b/>
          <w:sz w:val="24"/>
          <w:szCs w:val="24"/>
        </w:rPr>
        <w:t xml:space="preserve">; Business, History &amp; Social Sciences; Gordon State College, </w:t>
      </w:r>
      <w:hyperlink r:id="rId10" w:history="1">
        <w:r w:rsidRPr="006B7B2C">
          <w:rPr>
            <w:rStyle w:val="Hyperlink"/>
            <w:b/>
            <w:sz w:val="24"/>
            <w:szCs w:val="24"/>
          </w:rPr>
          <w:t>jmckinney@gordonstate.edu</w:t>
        </w:r>
      </w:hyperlink>
      <w:r>
        <w:rPr>
          <w:b/>
          <w:sz w:val="24"/>
          <w:szCs w:val="24"/>
        </w:rPr>
        <w:t xml:space="preserve"> </w:t>
      </w:r>
    </w:p>
    <w:p w14:paraId="6FBED7DD" w14:textId="63473592" w:rsidR="00B955FD" w:rsidRPr="00B955FD" w:rsidRDefault="00B955FD" w:rsidP="00B955FD">
      <w:pPr>
        <w:pStyle w:val="ListParagraph"/>
        <w:numPr>
          <w:ilvl w:val="0"/>
          <w:numId w:val="20"/>
        </w:numPr>
        <w:rPr>
          <w:b/>
          <w:sz w:val="24"/>
          <w:szCs w:val="24"/>
        </w:rPr>
      </w:pPr>
      <w:r>
        <w:rPr>
          <w:b/>
          <w:sz w:val="24"/>
          <w:szCs w:val="24"/>
        </w:rPr>
        <w:t xml:space="preserve">Autumn Schaffer, Instructional Designer; Gordon State College, </w:t>
      </w:r>
      <w:hyperlink r:id="rId11" w:history="1">
        <w:r w:rsidRPr="006B7B2C">
          <w:rPr>
            <w:rStyle w:val="Hyperlink"/>
            <w:b/>
            <w:sz w:val="24"/>
            <w:szCs w:val="24"/>
          </w:rPr>
          <w:t>autumns@gordonstate.edu</w:t>
        </w:r>
      </w:hyperlink>
      <w:r>
        <w:rPr>
          <w:b/>
          <w:sz w:val="24"/>
          <w:szCs w:val="24"/>
        </w:rPr>
        <w:t xml:space="preserve"> </w:t>
      </w:r>
    </w:p>
    <w:p w14:paraId="46A62745" w14:textId="6FBE4115"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B955FD">
        <w:rPr>
          <w:b/>
          <w:sz w:val="24"/>
          <w:szCs w:val="24"/>
        </w:rPr>
        <w:t xml:space="preserve"> Introduction to Psychology (PSYC 1101)</w:t>
      </w:r>
    </w:p>
    <w:p w14:paraId="3E617D79" w14:textId="2FA77017"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B955FD">
        <w:rPr>
          <w:b/>
          <w:sz w:val="24"/>
          <w:szCs w:val="24"/>
        </w:rPr>
        <w:t xml:space="preserve"> Fall 2020</w:t>
      </w:r>
    </w:p>
    <w:p w14:paraId="4D2A60B3" w14:textId="3A19A68E" w:rsidR="00687254" w:rsidRPr="004F2656" w:rsidRDefault="0033401E" w:rsidP="00E167BE">
      <w:pPr>
        <w:ind w:left="360"/>
        <w:rPr>
          <w:b/>
          <w:sz w:val="24"/>
          <w:szCs w:val="24"/>
        </w:rPr>
      </w:pPr>
      <w:r>
        <w:rPr>
          <w:b/>
          <w:sz w:val="24"/>
          <w:szCs w:val="24"/>
        </w:rPr>
        <w:lastRenderedPageBreak/>
        <w:t xml:space="preserve">Final </w:t>
      </w:r>
      <w:r w:rsidR="00687254" w:rsidRPr="004F2656">
        <w:rPr>
          <w:b/>
          <w:sz w:val="24"/>
          <w:szCs w:val="24"/>
        </w:rPr>
        <w:t>Semester of Implementation</w:t>
      </w:r>
      <w:r w:rsidR="003E1BCB" w:rsidRPr="004F2656">
        <w:rPr>
          <w:b/>
          <w:sz w:val="24"/>
          <w:szCs w:val="24"/>
        </w:rPr>
        <w:t>:</w:t>
      </w:r>
      <w:r w:rsidR="00B955FD">
        <w:rPr>
          <w:b/>
          <w:sz w:val="24"/>
          <w:szCs w:val="24"/>
        </w:rPr>
        <w:t xml:space="preserve"> Fall 2021</w:t>
      </w:r>
    </w:p>
    <w:p w14:paraId="6AA64C08" w14:textId="2B5DEE1A"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B955FD">
        <w:rPr>
          <w:b/>
          <w:sz w:val="24"/>
          <w:szCs w:val="24"/>
        </w:rPr>
        <w:t xml:space="preserve"> Fall 2021, 298 students</w:t>
      </w:r>
    </w:p>
    <w:p w14:paraId="0F7609E8" w14:textId="77777777" w:rsidR="00F24553" w:rsidRDefault="00F24553" w:rsidP="00F24553">
      <w:pPr>
        <w:pStyle w:val="NormalWeb"/>
        <w:spacing w:before="0" w:beforeAutospacing="0" w:after="160" w:afterAutospacing="0"/>
        <w:ind w:left="360"/>
      </w:pPr>
      <w:r>
        <w:rPr>
          <w:rFonts w:ascii="Calibri" w:hAnsi="Calibri" w:cs="Calibri"/>
          <w:b/>
          <w:bCs/>
          <w:color w:val="000000"/>
        </w:rPr>
        <w:t xml:space="preserve">Cost of Materials Replaced by Lumen </w:t>
      </w:r>
      <w:proofErr w:type="spellStart"/>
      <w:r>
        <w:rPr>
          <w:rFonts w:ascii="Calibri" w:hAnsi="Calibri" w:cs="Calibri"/>
          <w:b/>
          <w:bCs/>
          <w:color w:val="000000"/>
        </w:rPr>
        <w:t>Waymaker</w:t>
      </w:r>
      <w:proofErr w:type="spellEnd"/>
      <w:r>
        <w:rPr>
          <w:rFonts w:ascii="Calibri" w:hAnsi="Calibri" w:cs="Calibri"/>
          <w:b/>
          <w:bCs/>
          <w:color w:val="000000"/>
        </w:rPr>
        <w:t>: $123.61</w:t>
      </w:r>
    </w:p>
    <w:p w14:paraId="3E66B5CA" w14:textId="77777777" w:rsidR="00F24553" w:rsidRDefault="00F24553" w:rsidP="00F24553">
      <w:pPr>
        <w:pStyle w:val="NormalWeb"/>
        <w:spacing w:before="0" w:beforeAutospacing="0" w:after="160" w:afterAutospacing="0"/>
        <w:ind w:left="360"/>
      </w:pPr>
      <w:r>
        <w:rPr>
          <w:rFonts w:ascii="Calibri" w:hAnsi="Calibri" w:cs="Calibri"/>
          <w:b/>
          <w:bCs/>
          <w:color w:val="000000"/>
        </w:rPr>
        <w:t xml:space="preserve">Estimated Textbook Cost Savings Per Year (cost of previous materials minus cost of </w:t>
      </w:r>
      <w:proofErr w:type="spellStart"/>
      <w:r>
        <w:rPr>
          <w:rFonts w:ascii="Calibri" w:hAnsi="Calibri" w:cs="Calibri"/>
          <w:b/>
          <w:bCs/>
          <w:color w:val="000000"/>
        </w:rPr>
        <w:t>Waymaker</w:t>
      </w:r>
      <w:proofErr w:type="spellEnd"/>
      <w:r>
        <w:rPr>
          <w:rFonts w:ascii="Calibri" w:hAnsi="Calibri" w:cs="Calibri"/>
          <w:b/>
          <w:bCs/>
          <w:color w:val="000000"/>
        </w:rPr>
        <w:t>): $94.20 per student times 700 students/year, $65,940</w:t>
      </w:r>
    </w:p>
    <w:p w14:paraId="0558DC2E" w14:textId="77777777" w:rsidR="00F24553" w:rsidRDefault="00F24553" w:rsidP="00F24553">
      <w:pPr>
        <w:pStyle w:val="NormalWeb"/>
        <w:spacing w:before="0" w:beforeAutospacing="0" w:after="160" w:afterAutospacing="0"/>
        <w:ind w:left="360"/>
      </w:pPr>
      <w:r>
        <w:rPr>
          <w:rFonts w:ascii="Calibri" w:hAnsi="Calibri" w:cs="Calibri"/>
          <w:b/>
          <w:bCs/>
          <w:color w:val="000000"/>
        </w:rPr>
        <w:t xml:space="preserve">Are you going to continue the use of Lumen </w:t>
      </w:r>
      <w:proofErr w:type="spellStart"/>
      <w:r>
        <w:rPr>
          <w:rFonts w:ascii="Calibri" w:hAnsi="Calibri" w:cs="Calibri"/>
          <w:b/>
          <w:bCs/>
          <w:color w:val="000000"/>
        </w:rPr>
        <w:t>Waymaker</w:t>
      </w:r>
      <w:proofErr w:type="spellEnd"/>
      <w:r>
        <w:rPr>
          <w:rFonts w:ascii="Calibri" w:hAnsi="Calibri" w:cs="Calibri"/>
          <w:b/>
          <w:bCs/>
          <w:color w:val="000000"/>
        </w:rPr>
        <w:t xml:space="preserve"> in your General Psychology course after Fall </w:t>
      </w:r>
      <w:proofErr w:type="gramStart"/>
      <w:r>
        <w:rPr>
          <w:rFonts w:ascii="Calibri" w:hAnsi="Calibri" w:cs="Calibri"/>
          <w:b/>
          <w:bCs/>
          <w:color w:val="000000"/>
        </w:rPr>
        <w:t>2021?:</w:t>
      </w:r>
      <w:proofErr w:type="gramEnd"/>
      <w:r>
        <w:rPr>
          <w:rFonts w:ascii="Calibri" w:hAnsi="Calibri" w:cs="Calibri"/>
          <w:b/>
          <w:bCs/>
          <w:color w:val="000000"/>
        </w:rPr>
        <w:t xml:space="preserve"> yes</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4EA6843A" w14:textId="77777777" w:rsidR="00F24553" w:rsidRDefault="00647915" w:rsidP="00F24553">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2"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5055075C" w14:textId="77777777" w:rsidR="00F24553" w:rsidRDefault="00F24553" w:rsidP="00F24553">
      <w:pPr>
        <w:rPr>
          <w:rFonts w:ascii="Calibri" w:hAnsi="Calibri" w:cs="Calibri"/>
          <w:color w:val="000000"/>
        </w:rPr>
      </w:pPr>
      <w:r w:rsidRPr="00F24553">
        <w:rPr>
          <w:rFonts w:ascii="Calibri" w:hAnsi="Calibri" w:cs="Calibri"/>
          <w:color w:val="000000"/>
        </w:rPr>
        <w:t>We had four goals for this project: (1) expand the adoption of low-cost materials to all sections of PSYC 1101, (2) increase support for adjunct instructors, (3) increase equity across courses, (4) increase student success. Most of our PSYC 1101 courses are taught by adjunct instructors. Prior to this project, several different textbooks were used for the various PSYC 1101 courses. There was no common assessment or coordinated planning around the instruction of PSYC 1101. </w:t>
      </w:r>
    </w:p>
    <w:p w14:paraId="749D029D" w14:textId="77777777" w:rsidR="00F24553" w:rsidRDefault="00F24553" w:rsidP="00F24553">
      <w:pPr>
        <w:rPr>
          <w:rFonts w:ascii="Calibri" w:hAnsi="Calibri" w:cs="Calibri"/>
          <w:color w:val="000000"/>
        </w:rPr>
      </w:pPr>
      <w:r>
        <w:rPr>
          <w:rFonts w:ascii="Calibri" w:hAnsi="Calibri" w:cs="Calibri"/>
          <w:color w:val="000000"/>
        </w:rPr>
        <w:t>Throughout this project, we met monthly with all full-time and adjunct faculty who were currently teaching PSYC 1101. Coordinating our schedules required our monthly meetings to be held after traditional work hours to accommodate the adjuncts who worked full-time during the day. These monthly meetings contributed to the achievement of our second goal, which was to support adjunct instructors. Toward the end of our last monthly meeting one of the adjuncts asked if we could continue to meet even after the grant ended. That request speaks to the value that this project provided for adjuncts. In addition to monthly internal meetings, all faculty who taught PSYC 1101 were offered the opportunity to participate in Lumen Circles professional development. All but one (7 out of 8) completed the Success Accelerator Circle between Summer and Fall 2021.</w:t>
      </w:r>
    </w:p>
    <w:p w14:paraId="41C1001B" w14:textId="77777777" w:rsidR="00F24553" w:rsidRDefault="00F24553" w:rsidP="00F24553">
      <w:pPr>
        <w:rPr>
          <w:rFonts w:ascii="Calibri" w:hAnsi="Calibri" w:cs="Calibri"/>
          <w:color w:val="000000"/>
        </w:rPr>
      </w:pPr>
      <w:r>
        <w:rPr>
          <w:rFonts w:ascii="Calibri" w:hAnsi="Calibri" w:cs="Calibri"/>
          <w:color w:val="000000"/>
        </w:rPr>
        <w:t>The third and fourth goals were achieved, but in a slightly different manner than expected. After considering the unique situation in education over the past two years, we decided to focus our analysis on fall 2020 and fall 2021. The data from fall 2019 were considered, but we decided not to include those data because that was the last fall semester before we experienced changes due to covid-19. </w:t>
      </w:r>
    </w:p>
    <w:p w14:paraId="1B90EC87" w14:textId="77777777" w:rsidR="00F24553" w:rsidRDefault="00F24553" w:rsidP="00F24553">
      <w:pPr>
        <w:rPr>
          <w:rFonts w:ascii="Calibri" w:hAnsi="Calibri" w:cs="Calibri"/>
          <w:color w:val="000000"/>
        </w:rPr>
      </w:pPr>
      <w:r>
        <w:rPr>
          <w:rFonts w:ascii="Calibri" w:hAnsi="Calibri" w:cs="Calibri"/>
          <w:color w:val="000000"/>
        </w:rPr>
        <w:lastRenderedPageBreak/>
        <w:t xml:space="preserve">We found a 3.98% increase in overall GPA (from 2.51 to 2.61), a 2.67% increase in completion rate (from 74.8% to 76.8%), and a 2.01% decrease in the number of students receiving Ds, Fs, or </w:t>
      </w:r>
      <w:proofErr w:type="spellStart"/>
      <w:r>
        <w:rPr>
          <w:rFonts w:ascii="Calibri" w:hAnsi="Calibri" w:cs="Calibri"/>
          <w:color w:val="000000"/>
        </w:rPr>
        <w:t>Ws</w:t>
      </w:r>
      <w:proofErr w:type="spellEnd"/>
      <w:r>
        <w:rPr>
          <w:rFonts w:ascii="Calibri" w:hAnsi="Calibri" w:cs="Calibri"/>
          <w:color w:val="000000"/>
        </w:rPr>
        <w:t>. Females experienced the greatest increase in GPA (4.80%), while white students experienced the greatest decrease in GPA (9.48%). The DFW rate decreased for non-Pell eligible students and males, while Pell eligible, white, and female students saw an increase in DFWs. </w:t>
      </w:r>
    </w:p>
    <w:p w14:paraId="759C07BF" w14:textId="77777777" w:rsidR="00F24553" w:rsidRDefault="00F24553" w:rsidP="00F24553">
      <w:pPr>
        <w:rPr>
          <w:rFonts w:ascii="Calibri" w:hAnsi="Calibri" w:cs="Calibri"/>
          <w:color w:val="000000"/>
        </w:rPr>
      </w:pPr>
      <w:r>
        <w:rPr>
          <w:rFonts w:ascii="Calibri" w:hAnsi="Calibri" w:cs="Calibri"/>
          <w:color w:val="000000"/>
        </w:rPr>
        <w:t xml:space="preserve">The most interesting finding was regarding the completion rate. From fall 2020 to fall 2021, the completion rate for male students rose from 67.3% to 85%. The percentage of males completing the course rose from being the lowest to </w:t>
      </w:r>
      <w:proofErr w:type="spellStart"/>
      <w:r>
        <w:rPr>
          <w:rFonts w:ascii="Calibri" w:hAnsi="Calibri" w:cs="Calibri"/>
          <w:color w:val="000000"/>
        </w:rPr>
        <w:t>tied</w:t>
      </w:r>
      <w:proofErr w:type="spellEnd"/>
      <w:r>
        <w:rPr>
          <w:rFonts w:ascii="Calibri" w:hAnsi="Calibri" w:cs="Calibri"/>
          <w:color w:val="000000"/>
        </w:rPr>
        <w:t xml:space="preserve"> for the highest. We also found a 10.51% increase in the completion rate for our non-white students.</w:t>
      </w:r>
    </w:p>
    <w:p w14:paraId="33C88434" w14:textId="4C410650" w:rsidR="00F24553" w:rsidRPr="00F24553" w:rsidRDefault="00F24553" w:rsidP="00F24553">
      <w:pPr>
        <w:rPr>
          <w:i/>
          <w:iCs/>
          <w:sz w:val="24"/>
          <w:szCs w:val="24"/>
        </w:rPr>
      </w:pPr>
      <w:r>
        <w:rPr>
          <w:rFonts w:ascii="Calibri" w:hAnsi="Calibri" w:cs="Calibri"/>
          <w:color w:val="000000"/>
        </w:rPr>
        <w:t xml:space="preserve">If we were to do this project again, it would be helpful to emphasize the use of faculty messaging and student success tools within </w:t>
      </w:r>
      <w:proofErr w:type="spellStart"/>
      <w:r>
        <w:rPr>
          <w:rFonts w:ascii="Calibri" w:hAnsi="Calibri" w:cs="Calibri"/>
          <w:color w:val="000000"/>
        </w:rPr>
        <w:t>Waymaker</w:t>
      </w:r>
      <w:proofErr w:type="spellEnd"/>
      <w:r>
        <w:rPr>
          <w:rFonts w:ascii="Calibri" w:hAnsi="Calibri" w:cs="Calibri"/>
          <w:color w:val="000000"/>
        </w:rPr>
        <w:t xml:space="preserve">. Some faculty were more familiar with the </w:t>
      </w:r>
      <w:proofErr w:type="spellStart"/>
      <w:r>
        <w:rPr>
          <w:rFonts w:ascii="Calibri" w:hAnsi="Calibri" w:cs="Calibri"/>
          <w:color w:val="000000"/>
        </w:rPr>
        <w:t>Waymaker</w:t>
      </w:r>
      <w:proofErr w:type="spellEnd"/>
      <w:r>
        <w:rPr>
          <w:rFonts w:ascii="Calibri" w:hAnsi="Calibri" w:cs="Calibri"/>
          <w:color w:val="000000"/>
        </w:rPr>
        <w:t xml:space="preserve"> tools than others. While most of us completed the Success Accelerator Circle, which provided foundational information about using the </w:t>
      </w:r>
      <w:proofErr w:type="spellStart"/>
      <w:r>
        <w:rPr>
          <w:rFonts w:ascii="Calibri" w:hAnsi="Calibri" w:cs="Calibri"/>
          <w:color w:val="000000"/>
        </w:rPr>
        <w:t>Waymaker</w:t>
      </w:r>
      <w:proofErr w:type="spellEnd"/>
      <w:r>
        <w:rPr>
          <w:rFonts w:ascii="Calibri" w:hAnsi="Calibri" w:cs="Calibri"/>
          <w:color w:val="000000"/>
        </w:rPr>
        <w:t xml:space="preserve"> tools to support student success, we did not emphasize this aspect in our monthly meetings or team communications.   </w:t>
      </w:r>
    </w:p>
    <w:p w14:paraId="6E7CF058" w14:textId="4F3D3DDD" w:rsidR="00101A24" w:rsidRPr="004F2656" w:rsidRDefault="00101A24" w:rsidP="003F4D85">
      <w:pPr>
        <w:pStyle w:val="Heading1"/>
        <w:numPr>
          <w:ilvl w:val="0"/>
          <w:numId w:val="18"/>
        </w:numPr>
        <w:ind w:left="360"/>
      </w:pPr>
      <w:r w:rsidRPr="004F2656">
        <w:t>Quotes</w:t>
      </w:r>
    </w:p>
    <w:p w14:paraId="66BFA917" w14:textId="1EF0182F" w:rsidR="00F24553" w:rsidRDefault="00101A24" w:rsidP="00F24553">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7900D416" w14:textId="1B7C9736" w:rsidR="00F24553" w:rsidRPr="00F24553" w:rsidRDefault="00F24553" w:rsidP="00F24553">
      <w:pPr>
        <w:spacing w:line="240" w:lineRule="auto"/>
        <w:rPr>
          <w:rFonts w:ascii="Times New Roman" w:eastAsia="Times New Roman" w:hAnsi="Times New Roman" w:cs="Times New Roman"/>
          <w:sz w:val="24"/>
          <w:szCs w:val="24"/>
        </w:rPr>
      </w:pPr>
      <w:r w:rsidRPr="00F24553">
        <w:rPr>
          <w:rFonts w:ascii="Calibri" w:eastAsia="Times New Roman" w:hAnsi="Calibri" w:cs="Calibri"/>
          <w:color w:val="000000"/>
          <w:sz w:val="24"/>
          <w:szCs w:val="24"/>
        </w:rPr>
        <w:t xml:space="preserve">During the process of the </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xml:space="preserve"> implementation, we had two student interns that conducted three </w:t>
      </w:r>
      <w:proofErr w:type="gramStart"/>
      <w:r w:rsidRPr="00F24553">
        <w:rPr>
          <w:rFonts w:ascii="Calibri" w:eastAsia="Times New Roman" w:hAnsi="Calibri" w:cs="Calibri"/>
          <w:color w:val="000000"/>
          <w:sz w:val="24"/>
          <w:szCs w:val="24"/>
        </w:rPr>
        <w:t>face</w:t>
      </w:r>
      <w:proofErr w:type="gramEnd"/>
      <w:r w:rsidRPr="00F24553">
        <w:rPr>
          <w:rFonts w:ascii="Calibri" w:eastAsia="Times New Roman" w:hAnsi="Calibri" w:cs="Calibri"/>
          <w:color w:val="000000"/>
          <w:sz w:val="24"/>
          <w:szCs w:val="24"/>
        </w:rPr>
        <w:t xml:space="preserve"> to face focus groups, two online focus groups, and they both created an online survey. These focus groups and surveys provided useful knowledge on the student’s viewpoints and experiences with </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xml:space="preserve">. While most of the feedback was positive and noted </w:t>
      </w:r>
      <w:proofErr w:type="spellStart"/>
      <w:r w:rsidRPr="00F24553">
        <w:rPr>
          <w:rFonts w:ascii="Calibri" w:eastAsia="Times New Roman" w:hAnsi="Calibri" w:cs="Calibri"/>
          <w:color w:val="000000"/>
          <w:sz w:val="24"/>
          <w:szCs w:val="24"/>
        </w:rPr>
        <w:t>Waymaker’s</w:t>
      </w:r>
      <w:proofErr w:type="spellEnd"/>
      <w:r w:rsidRPr="00F24553">
        <w:rPr>
          <w:rFonts w:ascii="Calibri" w:eastAsia="Times New Roman" w:hAnsi="Calibri" w:cs="Calibri"/>
          <w:color w:val="000000"/>
          <w:sz w:val="24"/>
          <w:szCs w:val="24"/>
        </w:rPr>
        <w:t xml:space="preserve"> user-friendly platform, it’s cost-effectiveness, and helpful resources, the students also provided helpful insight into ways </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xml:space="preserve"> could be improved. Three quotes that best represent the student’s opinions are listed below.</w:t>
      </w:r>
    </w:p>
    <w:p w14:paraId="2FD54F99" w14:textId="77777777" w:rsidR="00F24553" w:rsidRPr="00F24553" w:rsidRDefault="00F24553" w:rsidP="00F24553">
      <w:pPr>
        <w:numPr>
          <w:ilvl w:val="0"/>
          <w:numId w:val="21"/>
        </w:numPr>
        <w:spacing w:after="0" w:line="240" w:lineRule="auto"/>
        <w:textAlignment w:val="baseline"/>
        <w:rPr>
          <w:rFonts w:ascii="Calibri" w:eastAsia="Times New Roman" w:hAnsi="Calibri" w:cs="Calibri"/>
          <w:color w:val="000000"/>
          <w:sz w:val="24"/>
          <w:szCs w:val="24"/>
        </w:rPr>
      </w:pPr>
      <w:r w:rsidRPr="00F24553">
        <w:rPr>
          <w:rFonts w:ascii="Calibri" w:eastAsia="Times New Roman" w:hAnsi="Calibri" w:cs="Calibri"/>
          <w:color w:val="000000"/>
          <w:sz w:val="24"/>
          <w:szCs w:val="24"/>
        </w:rPr>
        <w:t>“</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xml:space="preserve"> is better than just a regular textbook. </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xml:space="preserve"> provides materials in addition to what we learn in class. I especially like the study plans and the pre-test because it sets me up for the topic and module</w:t>
      </w:r>
      <w:proofErr w:type="gramStart"/>
      <w:r w:rsidRPr="00F24553">
        <w:rPr>
          <w:rFonts w:ascii="Calibri" w:eastAsia="Times New Roman" w:hAnsi="Calibri" w:cs="Calibri"/>
          <w:color w:val="000000"/>
          <w:sz w:val="24"/>
          <w:szCs w:val="24"/>
        </w:rPr>
        <w:t>. ”</w:t>
      </w:r>
      <w:proofErr w:type="gramEnd"/>
    </w:p>
    <w:p w14:paraId="255B60F3" w14:textId="77777777" w:rsidR="00F24553" w:rsidRPr="00F24553" w:rsidRDefault="00F24553" w:rsidP="00F24553">
      <w:pPr>
        <w:numPr>
          <w:ilvl w:val="0"/>
          <w:numId w:val="21"/>
        </w:numPr>
        <w:spacing w:after="0" w:line="240" w:lineRule="auto"/>
        <w:textAlignment w:val="baseline"/>
        <w:rPr>
          <w:rFonts w:ascii="Calibri" w:eastAsia="Times New Roman" w:hAnsi="Calibri" w:cs="Calibri"/>
          <w:color w:val="000000"/>
          <w:sz w:val="24"/>
          <w:szCs w:val="24"/>
        </w:rPr>
      </w:pPr>
      <w:r w:rsidRPr="00F24553">
        <w:rPr>
          <w:rFonts w:ascii="Calibri" w:eastAsia="Times New Roman" w:hAnsi="Calibri" w:cs="Calibri"/>
          <w:color w:val="000000"/>
          <w:sz w:val="24"/>
          <w:szCs w:val="24"/>
        </w:rPr>
        <w:t xml:space="preserve">“I like the structure of the course. It fits in with my schedule. I can take as much time as I need on each study </w:t>
      </w:r>
      <w:proofErr w:type="gramStart"/>
      <w:r w:rsidRPr="00F24553">
        <w:rPr>
          <w:rFonts w:ascii="Calibri" w:eastAsia="Times New Roman" w:hAnsi="Calibri" w:cs="Calibri"/>
          <w:color w:val="000000"/>
          <w:sz w:val="24"/>
          <w:szCs w:val="24"/>
        </w:rPr>
        <w:t>plan</w:t>
      </w:r>
      <w:proofErr w:type="gramEnd"/>
      <w:r w:rsidRPr="00F24553">
        <w:rPr>
          <w:rFonts w:ascii="Calibri" w:eastAsia="Times New Roman" w:hAnsi="Calibri" w:cs="Calibri"/>
          <w:color w:val="000000"/>
          <w:sz w:val="24"/>
          <w:szCs w:val="24"/>
        </w:rPr>
        <w:t xml:space="preserve"> and I love that we get two attempts on each quiz! It’s also nice that </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xml:space="preserve"> is both cost-friendly and eco-friendly. I don’t have to lug another heavy textbook around campus!”</w:t>
      </w:r>
    </w:p>
    <w:p w14:paraId="3DA2FEE1" w14:textId="77777777" w:rsidR="00F24553" w:rsidRPr="00F24553" w:rsidRDefault="00F24553" w:rsidP="00F24553">
      <w:pPr>
        <w:numPr>
          <w:ilvl w:val="0"/>
          <w:numId w:val="21"/>
        </w:numPr>
        <w:spacing w:line="240" w:lineRule="auto"/>
        <w:textAlignment w:val="baseline"/>
        <w:rPr>
          <w:rFonts w:ascii="Calibri" w:eastAsia="Times New Roman" w:hAnsi="Calibri" w:cs="Calibri"/>
          <w:color w:val="000000"/>
          <w:sz w:val="24"/>
          <w:szCs w:val="24"/>
        </w:rPr>
      </w:pPr>
      <w:r w:rsidRPr="00F24553">
        <w:rPr>
          <w:rFonts w:ascii="Calibri" w:eastAsia="Times New Roman" w:hAnsi="Calibri" w:cs="Calibri"/>
          <w:color w:val="000000"/>
          <w:sz w:val="24"/>
          <w:szCs w:val="24"/>
        </w:rPr>
        <w:t>“</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xml:space="preserve"> has a lot of positive qualities, but I would like some sort of alert-system that keeps me on schedule with my study plans, quizzes, discussions, and assignments. It would also be helpful to have a highlighting tool that I could use while reading through the material. The amount of reading can be burdensome at times.”</w:t>
      </w:r>
    </w:p>
    <w:p w14:paraId="3118C4D9" w14:textId="410238E8" w:rsidR="00F24553" w:rsidRPr="00F24553" w:rsidRDefault="00F24553" w:rsidP="00F24553">
      <w:pPr>
        <w:spacing w:line="240" w:lineRule="auto"/>
        <w:rPr>
          <w:rFonts w:ascii="Times New Roman" w:eastAsia="Times New Roman" w:hAnsi="Times New Roman" w:cs="Times New Roman"/>
          <w:sz w:val="24"/>
          <w:szCs w:val="24"/>
        </w:rPr>
      </w:pPr>
      <w:r w:rsidRPr="00F24553">
        <w:rPr>
          <w:rFonts w:ascii="Calibri" w:eastAsia="Times New Roman" w:hAnsi="Calibri" w:cs="Calibri"/>
          <w:color w:val="000000"/>
          <w:sz w:val="24"/>
          <w:szCs w:val="24"/>
        </w:rPr>
        <w:t xml:space="preserve">Overall, it seems that the students had a positive experience with </w:t>
      </w:r>
      <w:proofErr w:type="spellStart"/>
      <w:r w:rsidRPr="00F24553">
        <w:rPr>
          <w:rFonts w:ascii="Calibri" w:eastAsia="Times New Roman" w:hAnsi="Calibri" w:cs="Calibri"/>
          <w:color w:val="000000"/>
          <w:sz w:val="24"/>
          <w:szCs w:val="24"/>
        </w:rPr>
        <w:t>Waymaker</w:t>
      </w:r>
      <w:proofErr w:type="spellEnd"/>
      <w:r w:rsidRPr="00F24553">
        <w:rPr>
          <w:rFonts w:ascii="Calibri" w:eastAsia="Times New Roman" w:hAnsi="Calibri" w:cs="Calibri"/>
          <w:color w:val="000000"/>
          <w:sz w:val="24"/>
          <w:szCs w:val="24"/>
        </w:rPr>
        <w:t>. Although there are areas where it can be improved. For one, the focus groups revealed that a lot of students still are not doing the reading and are just skipping straight to the quizzes. </w:t>
      </w:r>
    </w:p>
    <w:p w14:paraId="7BDC7B31" w14:textId="77777777" w:rsidR="00F24553" w:rsidRPr="003F4D85" w:rsidRDefault="00F24553" w:rsidP="00F24553">
      <w:pPr>
        <w:ind w:left="360"/>
        <w:rPr>
          <w:i/>
          <w:iCs/>
          <w:sz w:val="24"/>
          <w:szCs w:val="24"/>
        </w:rPr>
      </w:pPr>
    </w:p>
    <w:p w14:paraId="2569A2E6" w14:textId="613FDB49" w:rsidR="00B90CC8" w:rsidRPr="00B90CC8" w:rsidRDefault="00F70B70" w:rsidP="003F4D85">
      <w:pPr>
        <w:pStyle w:val="Heading1"/>
        <w:numPr>
          <w:ilvl w:val="0"/>
          <w:numId w:val="18"/>
        </w:numPr>
        <w:ind w:left="360"/>
      </w:pPr>
      <w:r w:rsidRPr="004F2656">
        <w:lastRenderedPageBreak/>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469BD3F9"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r w:rsidR="00F24553">
        <w:rPr>
          <w:b/>
          <w:sz w:val="24"/>
          <w:szCs w:val="24"/>
        </w:rPr>
        <w:t xml:space="preserve"> Positive</w:t>
      </w:r>
    </w:p>
    <w:p w14:paraId="563016DB" w14:textId="0938BE9F" w:rsidR="00F24553" w:rsidRDefault="00F24553" w:rsidP="00F24553">
      <w:pPr>
        <w:pStyle w:val="NormalWeb"/>
        <w:spacing w:before="0" w:beforeAutospacing="0" w:after="160" w:afterAutospacing="0"/>
        <w:ind w:left="1080"/>
      </w:pPr>
      <w:r>
        <w:rPr>
          <w:rFonts w:ascii="Calibri" w:hAnsi="Calibri" w:cs="Calibri"/>
          <w:color w:val="000000"/>
        </w:rPr>
        <w:t>Total number of students affected in this project: 298</w:t>
      </w:r>
    </w:p>
    <w:p w14:paraId="0DE9A19C" w14:textId="3E0E88AC" w:rsidR="00F24553" w:rsidRDefault="00F24553" w:rsidP="00F24553">
      <w:pPr>
        <w:pStyle w:val="NormalWeb"/>
        <w:numPr>
          <w:ilvl w:val="0"/>
          <w:numId w:val="14"/>
        </w:numPr>
        <w:spacing w:before="0" w:beforeAutospacing="0" w:after="0" w:afterAutospacing="0"/>
        <w:textAlignment w:val="baseline"/>
        <w:rPr>
          <w:rFonts w:ascii="Calibri" w:hAnsi="Calibri" w:cs="Calibri"/>
          <w:color w:val="000000"/>
        </w:rPr>
      </w:pPr>
      <w:r>
        <w:rPr>
          <w:rFonts w:ascii="Calibri" w:hAnsi="Calibri" w:cs="Calibri"/>
          <w:color w:val="000000"/>
        </w:rPr>
        <w:t>Positive:</w:t>
      </w:r>
      <w:r>
        <w:rPr>
          <w:rStyle w:val="apple-tab-span"/>
          <w:rFonts w:ascii="Calibri" w:hAnsi="Calibri" w:cs="Calibri"/>
          <w:color w:val="000000"/>
        </w:rPr>
        <w:tab/>
      </w:r>
      <w:r>
        <w:rPr>
          <w:rFonts w:ascii="Calibri" w:hAnsi="Calibri" w:cs="Calibri"/>
          <w:color w:val="000000"/>
        </w:rPr>
        <w:t>82% of 28 respondents</w:t>
      </w:r>
    </w:p>
    <w:p w14:paraId="56E98D2D" w14:textId="619DAE86" w:rsidR="00F24553" w:rsidRDefault="00F24553" w:rsidP="00F24553">
      <w:pPr>
        <w:pStyle w:val="NormalWeb"/>
        <w:numPr>
          <w:ilvl w:val="0"/>
          <w:numId w:val="14"/>
        </w:numPr>
        <w:spacing w:before="0" w:beforeAutospacing="0" w:after="0" w:afterAutospacing="0"/>
        <w:textAlignment w:val="baseline"/>
        <w:rPr>
          <w:rFonts w:ascii="Calibri" w:hAnsi="Calibri" w:cs="Calibri"/>
          <w:color w:val="000000"/>
        </w:rPr>
      </w:pPr>
      <w:r>
        <w:rPr>
          <w:rFonts w:ascii="Calibri" w:hAnsi="Calibri" w:cs="Calibri"/>
          <w:color w:val="000000"/>
        </w:rPr>
        <w:t>Neutral:</w:t>
      </w:r>
      <w:r>
        <w:rPr>
          <w:rStyle w:val="apple-tab-span"/>
          <w:rFonts w:ascii="Calibri" w:hAnsi="Calibri" w:cs="Calibri"/>
          <w:color w:val="000000"/>
        </w:rPr>
        <w:tab/>
      </w:r>
      <w:r>
        <w:rPr>
          <w:rStyle w:val="apple-tab-span"/>
          <w:rFonts w:ascii="Calibri" w:hAnsi="Calibri" w:cs="Calibri"/>
          <w:color w:val="000000"/>
        </w:rPr>
        <w:t>1</w:t>
      </w:r>
      <w:r>
        <w:rPr>
          <w:rFonts w:ascii="Calibri" w:hAnsi="Calibri" w:cs="Calibri"/>
          <w:color w:val="000000"/>
        </w:rPr>
        <w:t>1% of 28 respondents</w:t>
      </w:r>
    </w:p>
    <w:p w14:paraId="4B4A604B" w14:textId="3D4AEF56" w:rsidR="00C45872" w:rsidRPr="00F24553" w:rsidRDefault="00F24553" w:rsidP="00F24553">
      <w:pPr>
        <w:pStyle w:val="NormalWeb"/>
        <w:numPr>
          <w:ilvl w:val="0"/>
          <w:numId w:val="14"/>
        </w:numPr>
        <w:spacing w:before="0" w:beforeAutospacing="0" w:after="160" w:afterAutospacing="0"/>
        <w:textAlignment w:val="baseline"/>
        <w:rPr>
          <w:rFonts w:ascii="Calibri" w:hAnsi="Calibri" w:cs="Calibri"/>
          <w:color w:val="000000"/>
        </w:rPr>
      </w:pPr>
      <w:r>
        <w:rPr>
          <w:rFonts w:ascii="Calibri" w:hAnsi="Calibri" w:cs="Calibri"/>
          <w:color w:val="000000"/>
        </w:rPr>
        <w:t>Negative:</w:t>
      </w:r>
      <w:r>
        <w:rPr>
          <w:rStyle w:val="apple-tab-span"/>
          <w:rFonts w:ascii="Calibri" w:hAnsi="Calibri" w:cs="Calibri"/>
          <w:color w:val="000000"/>
        </w:rPr>
        <w:tab/>
      </w:r>
      <w:r>
        <w:rPr>
          <w:rFonts w:ascii="Calibri" w:hAnsi="Calibri" w:cs="Calibri"/>
          <w:color w:val="000000"/>
        </w:rPr>
        <w:t>7% of</w:t>
      </w:r>
      <w:r>
        <w:rPr>
          <w:rFonts w:ascii="Calibri" w:hAnsi="Calibri" w:cs="Calibri"/>
          <w:color w:val="000000"/>
        </w:rPr>
        <w:t xml:space="preserve"> </w:t>
      </w:r>
      <w:r>
        <w:rPr>
          <w:rFonts w:ascii="Calibri" w:hAnsi="Calibri" w:cs="Calibri"/>
          <w:color w:val="000000"/>
        </w:rPr>
        <w:t>28 respondents</w:t>
      </w:r>
    </w:p>
    <w:p w14:paraId="7F5D0BB0" w14:textId="77777777" w:rsidR="001D51FD" w:rsidRDefault="001D51FD" w:rsidP="00C45872">
      <w:pPr>
        <w:ind w:left="720"/>
        <w:rPr>
          <w:b/>
          <w:sz w:val="24"/>
          <w:szCs w:val="24"/>
        </w:rPr>
      </w:pPr>
      <w:r>
        <w:rPr>
          <w:b/>
          <w:sz w:val="24"/>
          <w:szCs w:val="24"/>
        </w:rPr>
        <w:t>Student Learning Outcomes and Grades</w:t>
      </w:r>
    </w:p>
    <w:p w14:paraId="2FF8566C" w14:textId="48E7637E"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r w:rsidR="00F24553">
        <w:rPr>
          <w:b/>
          <w:sz w:val="24"/>
          <w:szCs w:val="24"/>
        </w:rPr>
        <w:t xml:space="preserve"> Positive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07559CCF" w14:textId="77777777" w:rsidR="00F24553" w:rsidRDefault="00F24553" w:rsidP="00F24553">
      <w:pPr>
        <w:pStyle w:val="NormalWeb"/>
        <w:spacing w:before="0" w:beforeAutospacing="0" w:after="0" w:afterAutospacing="0"/>
        <w:ind w:left="1080"/>
      </w:pPr>
      <w:r>
        <w:rPr>
          <w:rFonts w:ascii="Calibri" w:hAnsi="Calibri" w:cs="Calibri"/>
          <w:color w:val="000000"/>
        </w:rPr>
        <w:t>Choose One:  </w:t>
      </w:r>
    </w:p>
    <w:p w14:paraId="7A6D60C7" w14:textId="77777777" w:rsidR="00F24553" w:rsidRPr="00F24553" w:rsidRDefault="00F24553" w:rsidP="00F24553">
      <w:pPr>
        <w:pStyle w:val="NormalWeb"/>
        <w:numPr>
          <w:ilvl w:val="0"/>
          <w:numId w:val="23"/>
        </w:numPr>
        <w:spacing w:before="0" w:beforeAutospacing="0" w:after="0" w:afterAutospacing="0"/>
        <w:ind w:left="1800"/>
        <w:textAlignment w:val="baseline"/>
        <w:rPr>
          <w:rFonts w:ascii="Calibri" w:hAnsi="Calibri" w:cs="Calibri"/>
          <w:color w:val="000000"/>
        </w:rPr>
      </w:pPr>
      <w:r w:rsidRPr="00F24553">
        <w:rPr>
          <w:rFonts w:ascii="Calibri" w:hAnsi="Calibri" w:cs="Calibri"/>
          <w:color w:val="000000"/>
          <w:shd w:val="clear" w:color="auto" w:fill="FFFF00"/>
        </w:rPr>
        <w:t>_X__ Positive: Higher performance outcomes measured over previous semester(s) Overall GPA increased by 3.98% (2.51 to 2.61)</w:t>
      </w:r>
    </w:p>
    <w:p w14:paraId="5126993E" w14:textId="77777777" w:rsidR="00F24553" w:rsidRDefault="00F24553" w:rsidP="00F24553">
      <w:pPr>
        <w:pStyle w:val="NormalWeb"/>
        <w:numPr>
          <w:ilvl w:val="0"/>
          <w:numId w:val="23"/>
        </w:numPr>
        <w:spacing w:before="0" w:beforeAutospacing="0" w:after="0" w:afterAutospacing="0"/>
        <w:ind w:left="1800"/>
        <w:textAlignment w:val="baseline"/>
        <w:rPr>
          <w:rFonts w:ascii="Calibri" w:hAnsi="Calibri" w:cs="Calibri"/>
          <w:color w:val="000000"/>
        </w:rPr>
      </w:pPr>
      <w:r>
        <w:rPr>
          <w:rFonts w:ascii="Calibri" w:hAnsi="Calibri" w:cs="Calibri"/>
          <w:color w:val="000000"/>
        </w:rPr>
        <w:t>___ Neutral: Same performance outcomes over previous semester(s)</w:t>
      </w:r>
    </w:p>
    <w:p w14:paraId="50D1CF8A" w14:textId="77777777" w:rsidR="00F24553" w:rsidRDefault="00F24553" w:rsidP="00F24553">
      <w:pPr>
        <w:pStyle w:val="NormalWeb"/>
        <w:numPr>
          <w:ilvl w:val="0"/>
          <w:numId w:val="23"/>
        </w:numPr>
        <w:spacing w:before="0" w:beforeAutospacing="0" w:after="160" w:afterAutospacing="0"/>
        <w:ind w:left="1800"/>
        <w:textAlignment w:val="baseline"/>
        <w:rPr>
          <w:rFonts w:ascii="Calibri" w:hAnsi="Calibri" w:cs="Calibri"/>
          <w:color w:val="000000"/>
        </w:rPr>
      </w:pPr>
      <w:r>
        <w:rPr>
          <w:rFonts w:ascii="Calibri" w:hAnsi="Calibri" w:cs="Calibri"/>
          <w:color w:val="000000"/>
        </w:rPr>
        <w:t>___ Negative: Lower performance outcomes over previous semester(s) </w:t>
      </w:r>
    </w:p>
    <w:p w14:paraId="1C13D02E" w14:textId="77777777" w:rsidR="00F24553" w:rsidRDefault="00F24553" w:rsidP="00F24553">
      <w:pPr>
        <w:pStyle w:val="NormalWeb"/>
        <w:spacing w:before="0" w:beforeAutospacing="0" w:after="160" w:afterAutospacing="0"/>
        <w:ind w:left="720"/>
      </w:pPr>
      <w:r>
        <w:rPr>
          <w:rFonts w:ascii="Calibri" w:hAnsi="Calibri" w:cs="Calibri"/>
          <w:b/>
          <w:bCs/>
          <w:color w:val="000000"/>
        </w:rPr>
        <w:t>Student Drop/Fail/Withdraw (DFW) Rates</w:t>
      </w:r>
    </w:p>
    <w:p w14:paraId="3F262F88" w14:textId="77777777" w:rsidR="00F24553" w:rsidRDefault="00F24553" w:rsidP="00F24553">
      <w:pPr>
        <w:pStyle w:val="NormalWeb"/>
        <w:spacing w:before="0" w:beforeAutospacing="0" w:after="160" w:afterAutospacing="0"/>
        <w:ind w:left="1080"/>
      </w:pPr>
      <w:r>
        <w:rPr>
          <w:rFonts w:ascii="Calibri" w:hAnsi="Calibri" w:cs="Calibri"/>
          <w:b/>
          <w:bCs/>
          <w:color w:val="000000"/>
        </w:rPr>
        <w:t>Was the overall comparative impact on Drop/Fail/Withdraw (DFW) rates in the semester(s) of implementation over previous semesters positive, neutral, or negative?</w:t>
      </w:r>
    </w:p>
    <w:p w14:paraId="36FA3E70" w14:textId="77777777" w:rsidR="00F24553" w:rsidRDefault="00F24553" w:rsidP="00F24553">
      <w:pPr>
        <w:pStyle w:val="NormalWeb"/>
        <w:spacing w:before="0" w:beforeAutospacing="0" w:after="160" w:afterAutospacing="0"/>
        <w:ind w:left="1080"/>
      </w:pPr>
      <w:r>
        <w:rPr>
          <w:rFonts w:ascii="Calibri" w:hAnsi="Calibri" w:cs="Calibri"/>
          <w:i/>
          <w:iCs/>
          <w:color w:val="000000"/>
        </w:rPr>
        <w:t>Depending on what you and your institution can measure, this may also be known as a drop/failure rate or a withdraw/failure rate, or even a Grade D/F/Withdraw Rate.</w:t>
      </w:r>
    </w:p>
    <w:p w14:paraId="393A13D9" w14:textId="71D6F429" w:rsidR="00F24553" w:rsidRDefault="00F24553" w:rsidP="00F24553">
      <w:pPr>
        <w:pStyle w:val="NormalWeb"/>
        <w:spacing w:before="0" w:beforeAutospacing="0" w:after="160" w:afterAutospacing="0"/>
        <w:ind w:left="1080"/>
      </w:pPr>
      <w:r>
        <w:rPr>
          <w:rFonts w:ascii="Calibri" w:hAnsi="Calibri" w:cs="Calibri"/>
          <w:color w:val="000000"/>
        </w:rPr>
        <w:t>29.3% of students, out of a total 298 students affected, dropped/failed/withdrew from the course in the final semester of implementation. </w:t>
      </w:r>
    </w:p>
    <w:p w14:paraId="0418386A" w14:textId="77777777" w:rsidR="00F24553" w:rsidRDefault="00F24553" w:rsidP="00F24553">
      <w:pPr>
        <w:pStyle w:val="NormalWeb"/>
        <w:spacing w:before="0" w:beforeAutospacing="0" w:after="160" w:afterAutospacing="0"/>
        <w:ind w:left="1080"/>
      </w:pPr>
      <w:r>
        <w:rPr>
          <w:rFonts w:ascii="Calibri" w:hAnsi="Calibri" w:cs="Calibri"/>
          <w:color w:val="000000"/>
        </w:rPr>
        <w:t>Choose One:  </w:t>
      </w:r>
    </w:p>
    <w:p w14:paraId="3038E00C" w14:textId="77777777" w:rsidR="00F24553" w:rsidRDefault="00F24553" w:rsidP="00F24553">
      <w:pPr>
        <w:pStyle w:val="NormalWeb"/>
        <w:numPr>
          <w:ilvl w:val="0"/>
          <w:numId w:val="24"/>
        </w:numPr>
        <w:spacing w:before="0" w:beforeAutospacing="0" w:after="0" w:afterAutospacing="0"/>
        <w:ind w:left="1800"/>
        <w:textAlignment w:val="baseline"/>
        <w:rPr>
          <w:rFonts w:ascii="Calibri" w:hAnsi="Calibri" w:cs="Calibri"/>
          <w:color w:val="000000"/>
        </w:rPr>
      </w:pPr>
      <w:r>
        <w:rPr>
          <w:rFonts w:ascii="Calibri" w:hAnsi="Calibri" w:cs="Calibri"/>
          <w:color w:val="000000"/>
          <w:shd w:val="clear" w:color="auto" w:fill="FFFF00"/>
        </w:rPr>
        <w:t>_X__ Positive: This is a lower percentage of students with D/F/W than previous semester(s) Overall DFW rate decreased by 2.01% (29.9 to 29.3). </w:t>
      </w:r>
    </w:p>
    <w:p w14:paraId="10F80647" w14:textId="77777777" w:rsidR="00F24553" w:rsidRDefault="00F24553" w:rsidP="00F24553">
      <w:pPr>
        <w:pStyle w:val="NormalWeb"/>
        <w:numPr>
          <w:ilvl w:val="0"/>
          <w:numId w:val="24"/>
        </w:numPr>
        <w:spacing w:before="0" w:beforeAutospacing="0" w:after="0" w:afterAutospacing="0"/>
        <w:ind w:left="1800"/>
        <w:textAlignment w:val="baseline"/>
        <w:rPr>
          <w:rFonts w:ascii="Calibri" w:hAnsi="Calibri" w:cs="Calibri"/>
          <w:color w:val="000000"/>
        </w:rPr>
      </w:pPr>
      <w:r>
        <w:rPr>
          <w:rFonts w:ascii="Calibri" w:hAnsi="Calibri" w:cs="Calibri"/>
          <w:color w:val="000000"/>
        </w:rPr>
        <w:t>___ Neutral: This is the same percentage of students with D/F/W than previous semester(s)</w:t>
      </w:r>
    </w:p>
    <w:p w14:paraId="16158413" w14:textId="77777777" w:rsidR="00F24553" w:rsidRDefault="00F24553" w:rsidP="00F24553">
      <w:pPr>
        <w:pStyle w:val="NormalWeb"/>
        <w:numPr>
          <w:ilvl w:val="0"/>
          <w:numId w:val="24"/>
        </w:numPr>
        <w:spacing w:before="0" w:beforeAutospacing="0" w:after="160" w:afterAutospacing="0"/>
        <w:ind w:left="1800"/>
        <w:textAlignment w:val="baseline"/>
        <w:rPr>
          <w:rFonts w:ascii="Calibri" w:hAnsi="Calibri" w:cs="Calibri"/>
          <w:b/>
          <w:bCs/>
          <w:color w:val="000000"/>
        </w:rPr>
      </w:pPr>
      <w:r>
        <w:rPr>
          <w:rFonts w:ascii="Calibri" w:hAnsi="Calibri" w:cs="Calibri"/>
          <w:color w:val="000000"/>
        </w:rPr>
        <w:lastRenderedPageBreak/>
        <w:t>___ Negative: This is a higher percentage of students with 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276230CF" w:rsidR="0073273B" w:rsidRPr="00497797"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287E1366" w14:textId="77777777" w:rsidR="00497797" w:rsidRPr="00497797" w:rsidRDefault="00497797" w:rsidP="00497797">
      <w:pPr>
        <w:pStyle w:val="ListParagraph"/>
        <w:spacing w:line="240" w:lineRule="auto"/>
        <w:rPr>
          <w:rFonts w:ascii="Times New Roman" w:eastAsia="Times New Roman" w:hAnsi="Times New Roman" w:cs="Times New Roman"/>
          <w:sz w:val="24"/>
          <w:szCs w:val="24"/>
        </w:rPr>
      </w:pPr>
    </w:p>
    <w:p w14:paraId="549DD171" w14:textId="5E8ED494" w:rsidR="00497797" w:rsidRPr="00497797" w:rsidRDefault="00497797" w:rsidP="00497797">
      <w:pPr>
        <w:spacing w:line="240" w:lineRule="auto"/>
        <w:rPr>
          <w:rFonts w:ascii="Times New Roman" w:eastAsia="Times New Roman" w:hAnsi="Times New Roman" w:cs="Times New Roman"/>
          <w:sz w:val="24"/>
          <w:szCs w:val="24"/>
        </w:rPr>
      </w:pPr>
      <w:r w:rsidRPr="00497797">
        <w:rPr>
          <w:rFonts w:ascii="Calibri" w:eastAsia="Times New Roman" w:hAnsi="Calibri" w:cs="Calibri"/>
          <w:color w:val="000000"/>
          <w:sz w:val="24"/>
          <w:szCs w:val="24"/>
        </w:rPr>
        <w:t xml:space="preserve">Overall, the switch to </w:t>
      </w:r>
      <w:proofErr w:type="spellStart"/>
      <w:r w:rsidRPr="00497797">
        <w:rPr>
          <w:rFonts w:ascii="Calibri" w:eastAsia="Times New Roman" w:hAnsi="Calibri" w:cs="Calibri"/>
          <w:color w:val="000000"/>
          <w:sz w:val="24"/>
          <w:szCs w:val="24"/>
        </w:rPr>
        <w:t>Waymaker</w:t>
      </w:r>
      <w:proofErr w:type="spellEnd"/>
      <w:r w:rsidRPr="00497797">
        <w:rPr>
          <w:rFonts w:ascii="Calibri" w:eastAsia="Times New Roman" w:hAnsi="Calibri" w:cs="Calibri"/>
          <w:color w:val="000000"/>
          <w:sz w:val="24"/>
          <w:szCs w:val="24"/>
        </w:rPr>
        <w:t xml:space="preserve"> materials benefited our students, faculty, and adjunct faculty. Student’s overall grades improved, there was a decrease in Ds, Fs, and </w:t>
      </w:r>
      <w:proofErr w:type="spellStart"/>
      <w:r w:rsidRPr="00497797">
        <w:rPr>
          <w:rFonts w:ascii="Calibri" w:eastAsia="Times New Roman" w:hAnsi="Calibri" w:cs="Calibri"/>
          <w:color w:val="000000"/>
          <w:sz w:val="24"/>
          <w:szCs w:val="24"/>
        </w:rPr>
        <w:t>Ws</w:t>
      </w:r>
      <w:proofErr w:type="spellEnd"/>
      <w:r w:rsidRPr="00497797">
        <w:rPr>
          <w:rFonts w:ascii="Calibri" w:eastAsia="Times New Roman" w:hAnsi="Calibri" w:cs="Calibri"/>
          <w:color w:val="000000"/>
          <w:sz w:val="24"/>
          <w:szCs w:val="24"/>
        </w:rPr>
        <w:t>, adjunct faculty felt more supported, and students were satisfied with the course. </w:t>
      </w:r>
    </w:p>
    <w:p w14:paraId="4578BF1B" w14:textId="77777777" w:rsidR="00497797" w:rsidRPr="00497797" w:rsidRDefault="00497797" w:rsidP="00497797">
      <w:pPr>
        <w:spacing w:line="240" w:lineRule="auto"/>
        <w:rPr>
          <w:rFonts w:ascii="Times New Roman" w:eastAsia="Times New Roman" w:hAnsi="Times New Roman" w:cs="Times New Roman"/>
          <w:sz w:val="24"/>
          <w:szCs w:val="24"/>
        </w:rPr>
      </w:pPr>
      <w:r w:rsidRPr="00497797">
        <w:rPr>
          <w:rFonts w:ascii="Calibri" w:eastAsia="Times New Roman" w:hAnsi="Calibri" w:cs="Calibri"/>
          <w:color w:val="000000"/>
          <w:sz w:val="24"/>
          <w:szCs w:val="24"/>
        </w:rPr>
        <w:t xml:space="preserve">We found a 3.98% increase in overall GPA (from 2.51 to 2.61), a 2.67% increase in completion rate (from 74.8% to 76.8%), and a 2.01% decrease in the number of students receiving Ds, Fs, or </w:t>
      </w:r>
      <w:proofErr w:type="spellStart"/>
      <w:r w:rsidRPr="00497797">
        <w:rPr>
          <w:rFonts w:ascii="Calibri" w:eastAsia="Times New Roman" w:hAnsi="Calibri" w:cs="Calibri"/>
          <w:color w:val="000000"/>
          <w:sz w:val="24"/>
          <w:szCs w:val="24"/>
        </w:rPr>
        <w:t>Ws</w:t>
      </w:r>
      <w:proofErr w:type="spellEnd"/>
      <w:r w:rsidRPr="00497797">
        <w:rPr>
          <w:rFonts w:ascii="Calibri" w:eastAsia="Times New Roman" w:hAnsi="Calibri" w:cs="Calibri"/>
          <w:color w:val="000000"/>
          <w:sz w:val="24"/>
          <w:szCs w:val="24"/>
        </w:rPr>
        <w:t>. Females experienced the greatest increase in GPA (4.80%), while white students experienced the greatest decrease in GPA (9.48%). The DFW rate decreased for non-Pell eligible students and males, while Pell eligible, white, and female students saw an increase in DFWs. </w:t>
      </w:r>
    </w:p>
    <w:p w14:paraId="44484D98" w14:textId="77777777" w:rsidR="00497797" w:rsidRPr="00497797" w:rsidRDefault="00497797" w:rsidP="00497797">
      <w:pPr>
        <w:spacing w:line="240" w:lineRule="auto"/>
        <w:rPr>
          <w:rFonts w:ascii="Times New Roman" w:eastAsia="Times New Roman" w:hAnsi="Times New Roman" w:cs="Times New Roman"/>
          <w:sz w:val="24"/>
          <w:szCs w:val="24"/>
        </w:rPr>
      </w:pPr>
      <w:r w:rsidRPr="00497797">
        <w:rPr>
          <w:rFonts w:ascii="Calibri" w:eastAsia="Times New Roman" w:hAnsi="Calibri" w:cs="Calibri"/>
          <w:color w:val="000000"/>
          <w:sz w:val="24"/>
          <w:szCs w:val="24"/>
        </w:rPr>
        <w:t xml:space="preserve">The most interesting finding was regarding the completion rate. From fall 2020 to fall 2021, the completion rate for male students rose from 67.3% to 85%. The percentage of males completing the course rose from being the lowest to </w:t>
      </w:r>
      <w:proofErr w:type="spellStart"/>
      <w:r w:rsidRPr="00497797">
        <w:rPr>
          <w:rFonts w:ascii="Calibri" w:eastAsia="Times New Roman" w:hAnsi="Calibri" w:cs="Calibri"/>
          <w:color w:val="000000"/>
          <w:sz w:val="24"/>
          <w:szCs w:val="24"/>
        </w:rPr>
        <w:t>tied</w:t>
      </w:r>
      <w:proofErr w:type="spellEnd"/>
      <w:r w:rsidRPr="00497797">
        <w:rPr>
          <w:rFonts w:ascii="Calibri" w:eastAsia="Times New Roman" w:hAnsi="Calibri" w:cs="Calibri"/>
          <w:color w:val="000000"/>
          <w:sz w:val="24"/>
          <w:szCs w:val="24"/>
        </w:rPr>
        <w:t xml:space="preserve"> for the highest. We also found a 10.51% increase in the completion rate for our non-white students.</w:t>
      </w:r>
    </w:p>
    <w:p w14:paraId="24D59171" w14:textId="77777777" w:rsidR="00497797" w:rsidRPr="00497797" w:rsidRDefault="00497797" w:rsidP="00497797">
      <w:pPr>
        <w:spacing w:line="240" w:lineRule="auto"/>
        <w:rPr>
          <w:rFonts w:ascii="Times New Roman" w:eastAsia="Times New Roman" w:hAnsi="Times New Roman" w:cs="Times New Roman"/>
          <w:sz w:val="24"/>
          <w:szCs w:val="24"/>
        </w:rPr>
      </w:pPr>
      <w:r w:rsidRPr="00497797">
        <w:rPr>
          <w:rFonts w:ascii="Calibri" w:eastAsia="Times New Roman" w:hAnsi="Calibri" w:cs="Calibri"/>
          <w:color w:val="000000"/>
          <w:sz w:val="24"/>
          <w:szCs w:val="24"/>
        </w:rPr>
        <w:t xml:space="preserve">In addition, the students enjoyed the course and identified the positives and negatives of </w:t>
      </w:r>
      <w:proofErr w:type="spellStart"/>
      <w:r w:rsidRPr="00497797">
        <w:rPr>
          <w:rFonts w:ascii="Calibri" w:eastAsia="Times New Roman" w:hAnsi="Calibri" w:cs="Calibri"/>
          <w:color w:val="000000"/>
          <w:sz w:val="24"/>
          <w:szCs w:val="24"/>
        </w:rPr>
        <w:t>waymaker</w:t>
      </w:r>
      <w:proofErr w:type="spellEnd"/>
      <w:r w:rsidRPr="00497797">
        <w:rPr>
          <w:rFonts w:ascii="Calibri" w:eastAsia="Times New Roman" w:hAnsi="Calibri" w:cs="Calibri"/>
          <w:color w:val="000000"/>
          <w:sz w:val="24"/>
          <w:szCs w:val="24"/>
        </w:rPr>
        <w:t xml:space="preserve">. Students enjoyed </w:t>
      </w:r>
      <w:proofErr w:type="spellStart"/>
      <w:r w:rsidRPr="00497797">
        <w:rPr>
          <w:rFonts w:ascii="Calibri" w:eastAsia="Times New Roman" w:hAnsi="Calibri" w:cs="Calibri"/>
          <w:color w:val="000000"/>
          <w:sz w:val="24"/>
          <w:szCs w:val="24"/>
        </w:rPr>
        <w:t>Waymaker’s</w:t>
      </w:r>
      <w:proofErr w:type="spellEnd"/>
      <w:r w:rsidRPr="00497797">
        <w:rPr>
          <w:rFonts w:ascii="Calibri" w:eastAsia="Times New Roman" w:hAnsi="Calibri" w:cs="Calibri"/>
          <w:color w:val="000000"/>
          <w:sz w:val="24"/>
          <w:szCs w:val="24"/>
        </w:rPr>
        <w:t xml:space="preserve"> user-friendly platform, it’s cost-effectiveness, and </w:t>
      </w:r>
      <w:proofErr w:type="gramStart"/>
      <w:r w:rsidRPr="00497797">
        <w:rPr>
          <w:rFonts w:ascii="Calibri" w:eastAsia="Times New Roman" w:hAnsi="Calibri" w:cs="Calibri"/>
          <w:color w:val="000000"/>
          <w:sz w:val="24"/>
          <w:szCs w:val="24"/>
        </w:rPr>
        <w:t>all of</w:t>
      </w:r>
      <w:proofErr w:type="gramEnd"/>
      <w:r w:rsidRPr="00497797">
        <w:rPr>
          <w:rFonts w:ascii="Calibri" w:eastAsia="Times New Roman" w:hAnsi="Calibri" w:cs="Calibri"/>
          <w:color w:val="000000"/>
          <w:sz w:val="24"/>
          <w:szCs w:val="24"/>
        </w:rPr>
        <w:t xml:space="preserve"> the additional, helpful resources. The students liked the fact that there were two attempts at the quizzes and benefited from the study plans. The students also provided helpful insight into ways </w:t>
      </w:r>
      <w:proofErr w:type="spellStart"/>
      <w:r w:rsidRPr="00497797">
        <w:rPr>
          <w:rFonts w:ascii="Calibri" w:eastAsia="Times New Roman" w:hAnsi="Calibri" w:cs="Calibri"/>
          <w:color w:val="000000"/>
          <w:sz w:val="24"/>
          <w:szCs w:val="24"/>
        </w:rPr>
        <w:t>Waymaker</w:t>
      </w:r>
      <w:proofErr w:type="spellEnd"/>
      <w:r w:rsidRPr="00497797">
        <w:rPr>
          <w:rFonts w:ascii="Calibri" w:eastAsia="Times New Roman" w:hAnsi="Calibri" w:cs="Calibri"/>
          <w:color w:val="000000"/>
          <w:sz w:val="24"/>
          <w:szCs w:val="24"/>
        </w:rPr>
        <w:t xml:space="preserve"> could be improved. For example, a few students mentioned that the material was </w:t>
      </w:r>
      <w:proofErr w:type="gramStart"/>
      <w:r w:rsidRPr="00497797">
        <w:rPr>
          <w:rFonts w:ascii="Calibri" w:eastAsia="Times New Roman" w:hAnsi="Calibri" w:cs="Calibri"/>
          <w:color w:val="000000"/>
          <w:sz w:val="24"/>
          <w:szCs w:val="24"/>
        </w:rPr>
        <w:t>overwhelming</w:t>
      </w:r>
      <w:proofErr w:type="gramEnd"/>
      <w:r w:rsidRPr="00497797">
        <w:rPr>
          <w:rFonts w:ascii="Calibri" w:eastAsia="Times New Roman" w:hAnsi="Calibri" w:cs="Calibri"/>
          <w:color w:val="000000"/>
          <w:sz w:val="24"/>
          <w:szCs w:val="24"/>
        </w:rPr>
        <w:t xml:space="preserve"> and it included a lot of reading. They voiced that having ways to highlight the online textbook and take notes on the e-text would be helpful. These insights could help Lumen edit and improve </w:t>
      </w:r>
      <w:proofErr w:type="spellStart"/>
      <w:r w:rsidRPr="00497797">
        <w:rPr>
          <w:rFonts w:ascii="Calibri" w:eastAsia="Times New Roman" w:hAnsi="Calibri" w:cs="Calibri"/>
          <w:color w:val="000000"/>
          <w:sz w:val="24"/>
          <w:szCs w:val="24"/>
        </w:rPr>
        <w:t>Waymaker</w:t>
      </w:r>
      <w:proofErr w:type="spellEnd"/>
      <w:r w:rsidRPr="00497797">
        <w:rPr>
          <w:rFonts w:ascii="Calibri" w:eastAsia="Times New Roman" w:hAnsi="Calibri" w:cs="Calibri"/>
          <w:color w:val="000000"/>
          <w:sz w:val="24"/>
          <w:szCs w:val="24"/>
        </w:rPr>
        <w:t>. </w:t>
      </w:r>
    </w:p>
    <w:p w14:paraId="7CF74EBC" w14:textId="77777777" w:rsidR="00497797" w:rsidRPr="00497797" w:rsidRDefault="00497797" w:rsidP="00497797">
      <w:pPr>
        <w:rPr>
          <w:b/>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36C4BC5C" w14:textId="52486089"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017D4D38" w14:textId="77777777" w:rsidR="00497797" w:rsidRPr="00497797" w:rsidRDefault="00497797" w:rsidP="00497797">
      <w:pPr>
        <w:spacing w:line="240" w:lineRule="auto"/>
        <w:rPr>
          <w:rFonts w:ascii="Times New Roman" w:eastAsia="Times New Roman" w:hAnsi="Times New Roman" w:cs="Times New Roman"/>
          <w:sz w:val="24"/>
          <w:szCs w:val="24"/>
        </w:rPr>
      </w:pPr>
      <w:r w:rsidRPr="00497797">
        <w:rPr>
          <w:rFonts w:ascii="Calibri" w:eastAsia="Times New Roman" w:hAnsi="Calibri" w:cs="Calibri"/>
          <w:color w:val="000000"/>
          <w:sz w:val="24"/>
          <w:szCs w:val="24"/>
        </w:rPr>
        <w:t xml:space="preserve">We plan to continue use of </w:t>
      </w:r>
      <w:proofErr w:type="spellStart"/>
      <w:r w:rsidRPr="00497797">
        <w:rPr>
          <w:rFonts w:ascii="Calibri" w:eastAsia="Times New Roman" w:hAnsi="Calibri" w:cs="Calibri"/>
          <w:color w:val="000000"/>
          <w:sz w:val="24"/>
          <w:szCs w:val="24"/>
        </w:rPr>
        <w:t>Waymaker</w:t>
      </w:r>
      <w:proofErr w:type="spellEnd"/>
      <w:r w:rsidRPr="00497797">
        <w:rPr>
          <w:rFonts w:ascii="Calibri" w:eastAsia="Times New Roman" w:hAnsi="Calibri" w:cs="Calibri"/>
          <w:color w:val="000000"/>
          <w:sz w:val="24"/>
          <w:szCs w:val="24"/>
        </w:rPr>
        <w:t xml:space="preserve"> for PSYC 1101 courses. Adjuncts who initially used </w:t>
      </w:r>
      <w:proofErr w:type="spellStart"/>
      <w:r w:rsidRPr="00497797">
        <w:rPr>
          <w:rFonts w:ascii="Calibri" w:eastAsia="Times New Roman" w:hAnsi="Calibri" w:cs="Calibri"/>
          <w:color w:val="000000"/>
          <w:sz w:val="24"/>
          <w:szCs w:val="24"/>
        </w:rPr>
        <w:t>Waymaker</w:t>
      </w:r>
      <w:proofErr w:type="spellEnd"/>
      <w:r w:rsidRPr="00497797">
        <w:rPr>
          <w:rFonts w:ascii="Calibri" w:eastAsia="Times New Roman" w:hAnsi="Calibri" w:cs="Calibri"/>
          <w:color w:val="000000"/>
          <w:sz w:val="24"/>
          <w:szCs w:val="24"/>
        </w:rPr>
        <w:t xml:space="preserve"> for this project have expressed satisfaction with the courseware and plan to continue using it for PSYC 1101. Our hope is that our department will adopt </w:t>
      </w:r>
      <w:proofErr w:type="spellStart"/>
      <w:r w:rsidRPr="00497797">
        <w:rPr>
          <w:rFonts w:ascii="Calibri" w:eastAsia="Times New Roman" w:hAnsi="Calibri" w:cs="Calibri"/>
          <w:color w:val="000000"/>
          <w:sz w:val="24"/>
          <w:szCs w:val="24"/>
        </w:rPr>
        <w:t>Waymaker</w:t>
      </w:r>
      <w:proofErr w:type="spellEnd"/>
      <w:r w:rsidRPr="00497797">
        <w:rPr>
          <w:rFonts w:ascii="Calibri" w:eastAsia="Times New Roman" w:hAnsi="Calibri" w:cs="Calibri"/>
          <w:color w:val="000000"/>
          <w:sz w:val="24"/>
          <w:szCs w:val="24"/>
        </w:rPr>
        <w:t xml:space="preserve"> for other standard courses like Human Growth and Development, Abnormal Psychology, and Applied Statistics. </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51606BF6"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4AFD50B4" w14:textId="08A3C8C9" w:rsidR="00497797" w:rsidRPr="00497797" w:rsidRDefault="00497797" w:rsidP="00497797">
      <w:pPr>
        <w:rPr>
          <w:b/>
          <w:iCs/>
          <w:sz w:val="24"/>
          <w:szCs w:val="24"/>
        </w:rPr>
      </w:pPr>
      <w:r>
        <w:rPr>
          <w:iCs/>
          <w:sz w:val="24"/>
          <w:szCs w:val="24"/>
        </w:rPr>
        <w:t xml:space="preserve">Affordable materials are preferred by the full-time faculty in our department. Adjuncts are given a choice of materials and generally choose publisher textbooks. This project allowed us to expand the comfort level of our adjuncts. Hopefully, this project will influence them in the direction of being more likely to choose low-cost instructional materials. </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0E5A7CAC"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406D880F" w14:textId="0A72E178" w:rsidR="00497797" w:rsidRPr="003F4D85" w:rsidRDefault="00497797" w:rsidP="00497797">
      <w:pPr>
        <w:rPr>
          <w:b/>
          <w:sz w:val="24"/>
          <w:szCs w:val="24"/>
        </w:rPr>
      </w:pPr>
      <w:r>
        <w:rPr>
          <w:rFonts w:ascii="Calibri" w:hAnsi="Calibri" w:cs="Calibri"/>
          <w:color w:val="000000"/>
        </w:rPr>
        <w:t xml:space="preserve">Our team will present the project at the AAC&amp;U conference on January 24, </w:t>
      </w:r>
      <w:proofErr w:type="gramStart"/>
      <w:r>
        <w:rPr>
          <w:rFonts w:ascii="Calibri" w:hAnsi="Calibri" w:cs="Calibri"/>
          <w:color w:val="000000"/>
        </w:rPr>
        <w:t>2022</w:t>
      </w:r>
      <w:proofErr w:type="gramEnd"/>
      <w:r>
        <w:rPr>
          <w:rFonts w:ascii="Calibri" w:hAnsi="Calibri" w:cs="Calibri"/>
          <w:color w:val="000000"/>
        </w:rPr>
        <w:t xml:space="preserve"> from an equity and adjunct perspective and we will also be presenting at the National Organization of Student Success conference in March. Students and adjunct faculty will be attending both presentations to provide their unique perspective.</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85048"/>
    <w:multiLevelType w:val="hybridMultilevel"/>
    <w:tmpl w:val="4CEA01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CB5E17"/>
    <w:multiLevelType w:val="multilevel"/>
    <w:tmpl w:val="B23C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F0CE7"/>
    <w:multiLevelType w:val="multilevel"/>
    <w:tmpl w:val="3E7CA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C1253"/>
    <w:multiLevelType w:val="multilevel"/>
    <w:tmpl w:val="41A83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4E5DE2"/>
    <w:multiLevelType w:val="hybridMultilevel"/>
    <w:tmpl w:val="F978F3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5D0A94"/>
    <w:multiLevelType w:val="multilevel"/>
    <w:tmpl w:val="FBB6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20"/>
  </w:num>
  <w:num w:numId="4">
    <w:abstractNumId w:val="17"/>
  </w:num>
  <w:num w:numId="5">
    <w:abstractNumId w:val="5"/>
  </w:num>
  <w:num w:numId="6">
    <w:abstractNumId w:val="8"/>
  </w:num>
  <w:num w:numId="7">
    <w:abstractNumId w:val="3"/>
  </w:num>
  <w:num w:numId="8">
    <w:abstractNumId w:val="9"/>
  </w:num>
  <w:num w:numId="9">
    <w:abstractNumId w:val="2"/>
  </w:num>
  <w:num w:numId="10">
    <w:abstractNumId w:val="15"/>
  </w:num>
  <w:num w:numId="11">
    <w:abstractNumId w:val="1"/>
  </w:num>
  <w:num w:numId="12">
    <w:abstractNumId w:val="16"/>
  </w:num>
  <w:num w:numId="13">
    <w:abstractNumId w:val="18"/>
  </w:num>
  <w:num w:numId="14">
    <w:abstractNumId w:val="14"/>
  </w:num>
  <w:num w:numId="15">
    <w:abstractNumId w:val="4"/>
  </w:num>
  <w:num w:numId="16">
    <w:abstractNumId w:val="22"/>
  </w:num>
  <w:num w:numId="17">
    <w:abstractNumId w:val="10"/>
  </w:num>
  <w:num w:numId="18">
    <w:abstractNumId w:val="23"/>
  </w:num>
  <w:num w:numId="19">
    <w:abstractNumId w:val="0"/>
  </w:num>
  <w:num w:numId="20">
    <w:abstractNumId w:val="6"/>
  </w:num>
  <w:num w:numId="21">
    <w:abstractNumId w:val="7"/>
  </w:num>
  <w:num w:numId="22">
    <w:abstractNumId w:val="13"/>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101A24"/>
    <w:rsid w:val="00190A51"/>
    <w:rsid w:val="001A218C"/>
    <w:rsid w:val="001B2107"/>
    <w:rsid w:val="001D51FD"/>
    <w:rsid w:val="001E0EE3"/>
    <w:rsid w:val="001F4532"/>
    <w:rsid w:val="00220876"/>
    <w:rsid w:val="00240544"/>
    <w:rsid w:val="00285B86"/>
    <w:rsid w:val="003038A8"/>
    <w:rsid w:val="0033401E"/>
    <w:rsid w:val="00346044"/>
    <w:rsid w:val="003C1B4D"/>
    <w:rsid w:val="003D0854"/>
    <w:rsid w:val="003E1BCB"/>
    <w:rsid w:val="003F4D85"/>
    <w:rsid w:val="00471C68"/>
    <w:rsid w:val="0048459F"/>
    <w:rsid w:val="00497797"/>
    <w:rsid w:val="004F2656"/>
    <w:rsid w:val="005212A0"/>
    <w:rsid w:val="005C11E8"/>
    <w:rsid w:val="00630263"/>
    <w:rsid w:val="00647915"/>
    <w:rsid w:val="00684A25"/>
    <w:rsid w:val="00687254"/>
    <w:rsid w:val="006A36A9"/>
    <w:rsid w:val="0073273B"/>
    <w:rsid w:val="00772C9F"/>
    <w:rsid w:val="00811187"/>
    <w:rsid w:val="00871BC4"/>
    <w:rsid w:val="00945780"/>
    <w:rsid w:val="0097575D"/>
    <w:rsid w:val="00987DD6"/>
    <w:rsid w:val="00A06E45"/>
    <w:rsid w:val="00A77F21"/>
    <w:rsid w:val="00AF4890"/>
    <w:rsid w:val="00B516BC"/>
    <w:rsid w:val="00B90CC8"/>
    <w:rsid w:val="00B955FD"/>
    <w:rsid w:val="00BD653D"/>
    <w:rsid w:val="00BF3C8A"/>
    <w:rsid w:val="00C45872"/>
    <w:rsid w:val="00C65741"/>
    <w:rsid w:val="00C66162"/>
    <w:rsid w:val="00C749E5"/>
    <w:rsid w:val="00C807D1"/>
    <w:rsid w:val="00C80819"/>
    <w:rsid w:val="00C96BCC"/>
    <w:rsid w:val="00CB083C"/>
    <w:rsid w:val="00D11976"/>
    <w:rsid w:val="00DC2BFF"/>
    <w:rsid w:val="00DD3803"/>
    <w:rsid w:val="00DD5245"/>
    <w:rsid w:val="00DF79E1"/>
    <w:rsid w:val="00E167BE"/>
    <w:rsid w:val="00E34FAA"/>
    <w:rsid w:val="00EE35AB"/>
    <w:rsid w:val="00EE7C7E"/>
    <w:rsid w:val="00F01364"/>
    <w:rsid w:val="00F24553"/>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NormalWeb">
    <w:name w:val="Normal (Web)"/>
    <w:basedOn w:val="Normal"/>
    <w:uiPriority w:val="99"/>
    <w:unhideWhenUsed/>
    <w:rsid w:val="00F245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2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8553">
      <w:bodyDiv w:val="1"/>
      <w:marLeft w:val="0"/>
      <w:marRight w:val="0"/>
      <w:marTop w:val="0"/>
      <w:marBottom w:val="0"/>
      <w:divBdr>
        <w:top w:val="none" w:sz="0" w:space="0" w:color="auto"/>
        <w:left w:val="none" w:sz="0" w:space="0" w:color="auto"/>
        <w:bottom w:val="none" w:sz="0" w:space="0" w:color="auto"/>
        <w:right w:val="none" w:sz="0" w:space="0" w:color="auto"/>
      </w:divBdr>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49629069">
      <w:bodyDiv w:val="1"/>
      <w:marLeft w:val="0"/>
      <w:marRight w:val="0"/>
      <w:marTop w:val="0"/>
      <w:marBottom w:val="0"/>
      <w:divBdr>
        <w:top w:val="none" w:sz="0" w:space="0" w:color="auto"/>
        <w:left w:val="none" w:sz="0" w:space="0" w:color="auto"/>
        <w:bottom w:val="none" w:sz="0" w:space="0" w:color="auto"/>
        <w:right w:val="none" w:sz="0" w:space="0" w:color="auto"/>
      </w:divBdr>
    </w:div>
    <w:div w:id="350685245">
      <w:bodyDiv w:val="1"/>
      <w:marLeft w:val="0"/>
      <w:marRight w:val="0"/>
      <w:marTop w:val="0"/>
      <w:marBottom w:val="0"/>
      <w:divBdr>
        <w:top w:val="none" w:sz="0" w:space="0" w:color="auto"/>
        <w:left w:val="none" w:sz="0" w:space="0" w:color="auto"/>
        <w:bottom w:val="none" w:sz="0" w:space="0" w:color="auto"/>
        <w:right w:val="none" w:sz="0" w:space="0" w:color="auto"/>
      </w:divBdr>
    </w:div>
    <w:div w:id="1091973163">
      <w:bodyDiv w:val="1"/>
      <w:marLeft w:val="0"/>
      <w:marRight w:val="0"/>
      <w:marTop w:val="0"/>
      <w:marBottom w:val="0"/>
      <w:divBdr>
        <w:top w:val="none" w:sz="0" w:space="0" w:color="auto"/>
        <w:left w:val="none" w:sz="0" w:space="0" w:color="auto"/>
        <w:bottom w:val="none" w:sz="0" w:space="0" w:color="auto"/>
        <w:right w:val="none" w:sz="0" w:space="0" w:color="auto"/>
      </w:divBdr>
    </w:div>
    <w:div w:id="1172063715">
      <w:bodyDiv w:val="1"/>
      <w:marLeft w:val="0"/>
      <w:marRight w:val="0"/>
      <w:marTop w:val="0"/>
      <w:marBottom w:val="0"/>
      <w:divBdr>
        <w:top w:val="none" w:sz="0" w:space="0" w:color="auto"/>
        <w:left w:val="none" w:sz="0" w:space="0" w:color="auto"/>
        <w:bottom w:val="none" w:sz="0" w:space="0" w:color="auto"/>
        <w:right w:val="none" w:sz="0" w:space="0" w:color="auto"/>
      </w:divBdr>
    </w:div>
    <w:div w:id="1288000891">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2599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usg.edu/s3/ALG-Final-Report-Submission-For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reativecommons.org/share-your-wor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tumns@gordonstate.edu" TargetMode="External"/><Relationship Id="rId5" Type="http://schemas.openxmlformats.org/officeDocument/2006/relationships/styles" Target="styles.xml"/><Relationship Id="rId10" Type="http://schemas.openxmlformats.org/officeDocument/2006/relationships/hyperlink" Target="mailto:jmckinney@gordonstate.edu" TargetMode="External"/><Relationship Id="rId4" Type="http://schemas.openxmlformats.org/officeDocument/2006/relationships/numbering" Target="numbering.xml"/><Relationship Id="rId9" Type="http://schemas.openxmlformats.org/officeDocument/2006/relationships/hyperlink" Target="mailto:jtraylor1@gordonstate.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Jessica Traylor</cp:lastModifiedBy>
  <cp:revision>2</cp:revision>
  <dcterms:created xsi:type="dcterms:W3CDTF">2021-12-15T19:23:00Z</dcterms:created>
  <dcterms:modified xsi:type="dcterms:W3CDTF">2021-12-15T19:23:00Z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