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9D14AC" w14:textId="649027FC" w:rsidR="00E167BE" w:rsidRDefault="00E167BE" w:rsidP="00285B86">
      <w:pPr>
        <w:pStyle w:val="Title"/>
      </w:pPr>
      <w:r w:rsidRPr="004F2656">
        <w:t xml:space="preserve">Affordable Learning Georgia </w:t>
      </w:r>
      <w:r w:rsidR="00C65741">
        <w:t>Affordable Materials Grants</w:t>
      </w:r>
      <w:r w:rsidR="00C65741">
        <w:br/>
      </w:r>
      <w:r w:rsidRPr="004F2656">
        <w:t xml:space="preserve">Transformation Grants </w:t>
      </w:r>
      <w:r w:rsidR="00BD653D">
        <w:t>Final Report</w:t>
      </w:r>
    </w:p>
    <w:p w14:paraId="46532805" w14:textId="3C3E6793" w:rsidR="00BD653D" w:rsidRPr="00BD653D" w:rsidRDefault="00BD653D" w:rsidP="00BD653D">
      <w:pPr>
        <w:jc w:val="center"/>
        <w:rPr>
          <w:i/>
          <w:iCs/>
        </w:rPr>
      </w:pPr>
      <w:r>
        <w:rPr>
          <w:i/>
          <w:iCs/>
        </w:rPr>
        <w:t>(or Textbook Transformation Grants, if R17 or earlier)</w:t>
      </w:r>
    </w:p>
    <w:p w14:paraId="1D496630" w14:textId="27714E7C" w:rsidR="0033401E" w:rsidRPr="00871BC4" w:rsidRDefault="00647915" w:rsidP="0073273B">
      <w:pPr>
        <w:rPr>
          <w:iCs/>
          <w:sz w:val="24"/>
          <w:szCs w:val="24"/>
        </w:rPr>
      </w:pPr>
      <w:r>
        <w:rPr>
          <w:iCs/>
          <w:sz w:val="24"/>
          <w:szCs w:val="24"/>
        </w:rPr>
        <w:t>Once you have completed this template, to</w:t>
      </w:r>
      <w:r w:rsidR="0033401E" w:rsidRPr="00871BC4">
        <w:rPr>
          <w:iCs/>
          <w:sz w:val="24"/>
          <w:szCs w:val="24"/>
        </w:rPr>
        <w:t xml:space="preserve"> submit your Final Report, go to the </w:t>
      </w:r>
      <w:hyperlink r:id="rId8" w:history="1">
        <w:r w:rsidR="0033401E" w:rsidRPr="003F4D85">
          <w:rPr>
            <w:rStyle w:val="Hyperlink"/>
            <w:iCs/>
            <w:sz w:val="24"/>
            <w:szCs w:val="24"/>
          </w:rPr>
          <w:t xml:space="preserve">Final Report submission </w:t>
        </w:r>
      </w:hyperlink>
      <w:r>
        <w:rPr>
          <w:rStyle w:val="Hyperlink"/>
          <w:iCs/>
          <w:sz w:val="24"/>
          <w:szCs w:val="24"/>
        </w:rPr>
        <w:t>form.</w:t>
      </w:r>
      <w:r w:rsidR="0033401E" w:rsidRPr="00871BC4">
        <w:rPr>
          <w:iCs/>
          <w:sz w:val="24"/>
          <w:szCs w:val="24"/>
        </w:rPr>
        <w:t xml:space="preserve"> </w:t>
      </w:r>
    </w:p>
    <w:p w14:paraId="6BF02510" w14:textId="52CA1B6A" w:rsidR="0033401E" w:rsidRDefault="0033401E" w:rsidP="0033401E">
      <w:pPr>
        <w:pStyle w:val="Heading1"/>
      </w:pPr>
      <w:r>
        <w:t>General Information</w:t>
      </w:r>
    </w:p>
    <w:p w14:paraId="6A5B7154" w14:textId="09901336" w:rsidR="00687254" w:rsidRPr="005B4502" w:rsidRDefault="00687254" w:rsidP="00687254">
      <w:pPr>
        <w:ind w:left="360"/>
        <w:rPr>
          <w:sz w:val="24"/>
          <w:szCs w:val="24"/>
        </w:rPr>
      </w:pPr>
      <w:r w:rsidRPr="004F2656">
        <w:rPr>
          <w:b/>
          <w:sz w:val="24"/>
          <w:szCs w:val="24"/>
        </w:rPr>
        <w:t>Date</w:t>
      </w:r>
      <w:r w:rsidR="003E1BCB" w:rsidRPr="004F2656">
        <w:rPr>
          <w:b/>
          <w:sz w:val="24"/>
          <w:szCs w:val="24"/>
        </w:rPr>
        <w:t>:</w:t>
      </w:r>
      <w:r w:rsidR="005B4502">
        <w:rPr>
          <w:b/>
          <w:sz w:val="24"/>
          <w:szCs w:val="24"/>
        </w:rPr>
        <w:t xml:space="preserve">  </w:t>
      </w:r>
      <w:r w:rsidR="005B4502">
        <w:rPr>
          <w:sz w:val="24"/>
          <w:szCs w:val="24"/>
        </w:rPr>
        <w:t>June 14, 2023</w:t>
      </w:r>
    </w:p>
    <w:p w14:paraId="1CB2C16B" w14:textId="28082BBF" w:rsidR="0033401E" w:rsidRPr="00FC2E0C" w:rsidRDefault="0033401E" w:rsidP="00687254">
      <w:pPr>
        <w:ind w:left="360"/>
        <w:rPr>
          <w:sz w:val="24"/>
          <w:szCs w:val="24"/>
        </w:rPr>
      </w:pPr>
      <w:r>
        <w:rPr>
          <w:b/>
          <w:sz w:val="24"/>
          <w:szCs w:val="24"/>
        </w:rPr>
        <w:t>Grant Round:</w:t>
      </w:r>
      <w:r w:rsidR="00FC2E0C">
        <w:rPr>
          <w:b/>
          <w:sz w:val="24"/>
          <w:szCs w:val="24"/>
        </w:rPr>
        <w:t xml:space="preserve">  </w:t>
      </w:r>
      <w:r w:rsidR="00FC2E0C">
        <w:rPr>
          <w:sz w:val="24"/>
          <w:szCs w:val="24"/>
        </w:rPr>
        <w:t>14</w:t>
      </w:r>
    </w:p>
    <w:p w14:paraId="41045492" w14:textId="36EEB02C" w:rsidR="00240544" w:rsidRPr="00B24B00" w:rsidRDefault="003E1BCB" w:rsidP="00687254">
      <w:pPr>
        <w:ind w:left="360"/>
        <w:rPr>
          <w:sz w:val="24"/>
          <w:szCs w:val="24"/>
        </w:rPr>
      </w:pPr>
      <w:r w:rsidRPr="004F2656">
        <w:rPr>
          <w:b/>
          <w:sz w:val="24"/>
          <w:szCs w:val="24"/>
        </w:rPr>
        <w:t>Grant</w:t>
      </w:r>
      <w:r w:rsidR="00687254" w:rsidRPr="004F2656">
        <w:rPr>
          <w:b/>
          <w:sz w:val="24"/>
          <w:szCs w:val="24"/>
        </w:rPr>
        <w:t xml:space="preserve"> Number</w:t>
      </w:r>
      <w:r w:rsidRPr="004F2656">
        <w:rPr>
          <w:b/>
          <w:sz w:val="24"/>
          <w:szCs w:val="24"/>
        </w:rPr>
        <w:t>:</w:t>
      </w:r>
      <w:r w:rsidR="00B24B00">
        <w:rPr>
          <w:b/>
          <w:sz w:val="24"/>
          <w:szCs w:val="24"/>
        </w:rPr>
        <w:t xml:space="preserve">  </w:t>
      </w:r>
      <w:r w:rsidR="00A55C05" w:rsidRPr="002D274B">
        <w:rPr>
          <w:sz w:val="24"/>
          <w:szCs w:val="24"/>
        </w:rPr>
        <w:t>3369-453</w:t>
      </w:r>
    </w:p>
    <w:p w14:paraId="65C4B013" w14:textId="248024FA" w:rsidR="00687254" w:rsidRDefault="00687254" w:rsidP="00687254">
      <w:pPr>
        <w:ind w:left="360"/>
        <w:rPr>
          <w:b/>
          <w:sz w:val="24"/>
          <w:szCs w:val="24"/>
        </w:rPr>
      </w:pPr>
      <w:r w:rsidRPr="004F2656">
        <w:rPr>
          <w:b/>
          <w:sz w:val="24"/>
          <w:szCs w:val="24"/>
        </w:rPr>
        <w:t>Institution Name(s</w:t>
      </w:r>
      <w:r w:rsidR="003E1BCB" w:rsidRPr="004F2656">
        <w:rPr>
          <w:b/>
          <w:sz w:val="24"/>
          <w:szCs w:val="24"/>
        </w:rPr>
        <w:t>):</w:t>
      </w:r>
      <w:r w:rsidR="00D5794E">
        <w:rPr>
          <w:b/>
          <w:sz w:val="24"/>
          <w:szCs w:val="24"/>
        </w:rPr>
        <w:t xml:space="preserve"> </w:t>
      </w:r>
      <w:r w:rsidR="00221ADF" w:rsidRPr="00221ADF">
        <w:rPr>
          <w:sz w:val="24"/>
          <w:szCs w:val="24"/>
        </w:rPr>
        <w:t>University of Georgia</w:t>
      </w:r>
    </w:p>
    <w:p w14:paraId="28FD8E6E" w14:textId="44A83ADE" w:rsidR="0033401E" w:rsidRPr="00221ADF" w:rsidRDefault="0033401E" w:rsidP="0033401E">
      <w:pPr>
        <w:ind w:left="360"/>
        <w:rPr>
          <w:sz w:val="24"/>
          <w:szCs w:val="24"/>
        </w:rPr>
      </w:pPr>
      <w:r w:rsidRPr="004F2656">
        <w:rPr>
          <w:b/>
          <w:sz w:val="24"/>
          <w:szCs w:val="24"/>
        </w:rPr>
        <w:t>Project Lead:</w:t>
      </w:r>
      <w:r w:rsidR="00221ADF">
        <w:rPr>
          <w:b/>
          <w:sz w:val="24"/>
          <w:szCs w:val="24"/>
        </w:rPr>
        <w:t xml:space="preserve"> </w:t>
      </w:r>
      <w:r w:rsidR="00221ADF">
        <w:rPr>
          <w:sz w:val="24"/>
          <w:szCs w:val="24"/>
        </w:rPr>
        <w:t>Suzanne Ellenberger</w:t>
      </w:r>
    </w:p>
    <w:p w14:paraId="6A7C5B5B" w14:textId="6E595D42" w:rsidR="00687254" w:rsidRPr="00986270" w:rsidRDefault="00687254" w:rsidP="00687254">
      <w:pPr>
        <w:ind w:left="360"/>
        <w:rPr>
          <w:sz w:val="24"/>
          <w:szCs w:val="24"/>
        </w:rPr>
      </w:pPr>
      <w:r w:rsidRPr="004F2656">
        <w:rPr>
          <w:b/>
          <w:sz w:val="24"/>
          <w:szCs w:val="24"/>
        </w:rPr>
        <w:t>Team Members</w:t>
      </w:r>
      <w:r w:rsidR="003E1BCB" w:rsidRPr="004F2656">
        <w:rPr>
          <w:b/>
          <w:sz w:val="24"/>
          <w:szCs w:val="24"/>
        </w:rPr>
        <w:t>:</w:t>
      </w:r>
      <w:r w:rsidR="00986270">
        <w:rPr>
          <w:b/>
          <w:sz w:val="24"/>
          <w:szCs w:val="24"/>
        </w:rPr>
        <w:t xml:space="preserve">  </w:t>
      </w:r>
      <w:r w:rsidR="00986270">
        <w:rPr>
          <w:sz w:val="24"/>
          <w:szCs w:val="24"/>
        </w:rPr>
        <w:t>Sara Blankenship, Lecturer</w:t>
      </w:r>
      <w:r w:rsidR="00B31357">
        <w:rPr>
          <w:sz w:val="24"/>
          <w:szCs w:val="24"/>
        </w:rPr>
        <w:t xml:space="preserve"> (sara.blankenship@uga.edu)</w:t>
      </w:r>
      <w:r w:rsidR="00986270">
        <w:rPr>
          <w:sz w:val="24"/>
          <w:szCs w:val="24"/>
        </w:rPr>
        <w:t>; Wenjian Du Lecturer</w:t>
      </w:r>
      <w:r w:rsidR="00C60A02">
        <w:rPr>
          <w:sz w:val="24"/>
          <w:szCs w:val="24"/>
        </w:rPr>
        <w:t xml:space="preserve"> (Wenjian.du@uga.edu)</w:t>
      </w:r>
      <w:r w:rsidR="00986270">
        <w:rPr>
          <w:sz w:val="24"/>
          <w:szCs w:val="24"/>
        </w:rPr>
        <w:t>; Jessica Jensen, Lecturer</w:t>
      </w:r>
      <w:r w:rsidR="007B6A29">
        <w:rPr>
          <w:sz w:val="24"/>
          <w:szCs w:val="24"/>
        </w:rPr>
        <w:t xml:space="preserve"> (</w:t>
      </w:r>
      <w:r w:rsidR="00311FBF">
        <w:rPr>
          <w:sz w:val="24"/>
          <w:szCs w:val="24"/>
        </w:rPr>
        <w:t>jmjensen@uga.edu</w:t>
      </w:r>
      <w:r w:rsidR="007B6A29">
        <w:rPr>
          <w:sz w:val="24"/>
          <w:szCs w:val="24"/>
        </w:rPr>
        <w:t>)</w:t>
      </w:r>
      <w:r w:rsidR="00986270">
        <w:rPr>
          <w:sz w:val="24"/>
          <w:szCs w:val="24"/>
        </w:rPr>
        <w:t xml:space="preserve">; </w:t>
      </w:r>
      <w:r w:rsidR="003137D8">
        <w:rPr>
          <w:sz w:val="24"/>
          <w:szCs w:val="24"/>
        </w:rPr>
        <w:t>William Ellenberger, Lecturer</w:t>
      </w:r>
      <w:r w:rsidR="00C60A02">
        <w:rPr>
          <w:sz w:val="24"/>
          <w:szCs w:val="24"/>
        </w:rPr>
        <w:t xml:space="preserve"> (william.ellenberger@uga.edu)</w:t>
      </w:r>
      <w:r w:rsidR="003137D8">
        <w:rPr>
          <w:sz w:val="24"/>
          <w:szCs w:val="24"/>
        </w:rPr>
        <w:t xml:space="preserve">; </w:t>
      </w:r>
      <w:r w:rsidR="00C51209">
        <w:rPr>
          <w:sz w:val="24"/>
          <w:szCs w:val="24"/>
        </w:rPr>
        <w:t>Eman Abdelrahman, Graduate Student now Lecturer</w:t>
      </w:r>
      <w:r w:rsidR="007B6A29">
        <w:rPr>
          <w:sz w:val="24"/>
          <w:szCs w:val="24"/>
        </w:rPr>
        <w:t xml:space="preserve"> (</w:t>
      </w:r>
      <w:r w:rsidR="00311FBF">
        <w:rPr>
          <w:sz w:val="24"/>
          <w:szCs w:val="24"/>
        </w:rPr>
        <w:t>eman.abdelrahman@uga.edu</w:t>
      </w:r>
      <w:r w:rsidR="007B6A29">
        <w:rPr>
          <w:sz w:val="24"/>
          <w:szCs w:val="24"/>
        </w:rPr>
        <w:t>)</w:t>
      </w:r>
      <w:r w:rsidR="00C51209">
        <w:rPr>
          <w:sz w:val="24"/>
          <w:szCs w:val="24"/>
        </w:rPr>
        <w:t>; Matthew Seivert, Graduate Student now Lecturer</w:t>
      </w:r>
      <w:r w:rsidR="007B6A29">
        <w:rPr>
          <w:sz w:val="24"/>
          <w:szCs w:val="24"/>
        </w:rPr>
        <w:t xml:space="preserve"> (</w:t>
      </w:r>
      <w:r w:rsidR="00311FBF">
        <w:rPr>
          <w:sz w:val="24"/>
          <w:szCs w:val="24"/>
        </w:rPr>
        <w:t>mseivert@uga.edu</w:t>
      </w:r>
      <w:r w:rsidR="007B6A29">
        <w:rPr>
          <w:sz w:val="24"/>
          <w:szCs w:val="24"/>
        </w:rPr>
        <w:t>)</w:t>
      </w:r>
      <w:r w:rsidR="00A61847">
        <w:rPr>
          <w:sz w:val="24"/>
          <w:szCs w:val="24"/>
        </w:rPr>
        <w:t>.</w:t>
      </w:r>
    </w:p>
    <w:p w14:paraId="46A62745" w14:textId="4F62AEF7" w:rsidR="00DF79E1" w:rsidRPr="000446CC" w:rsidRDefault="00DF79E1" w:rsidP="00E167BE">
      <w:pPr>
        <w:ind w:left="360"/>
        <w:rPr>
          <w:sz w:val="24"/>
          <w:szCs w:val="24"/>
        </w:rPr>
      </w:pPr>
      <w:r w:rsidRPr="004F2656">
        <w:rPr>
          <w:b/>
          <w:sz w:val="24"/>
          <w:szCs w:val="24"/>
        </w:rPr>
        <w:t>Course Name(s) and Course Numbers</w:t>
      </w:r>
      <w:r w:rsidR="003E1BCB" w:rsidRPr="004F2656">
        <w:rPr>
          <w:b/>
          <w:sz w:val="24"/>
          <w:szCs w:val="24"/>
        </w:rPr>
        <w:t>:</w:t>
      </w:r>
      <w:r w:rsidR="000446CC">
        <w:rPr>
          <w:b/>
          <w:sz w:val="24"/>
          <w:szCs w:val="24"/>
        </w:rPr>
        <w:t xml:space="preserve">  </w:t>
      </w:r>
      <w:r w:rsidR="000446CC">
        <w:rPr>
          <w:sz w:val="24"/>
          <w:szCs w:val="24"/>
        </w:rPr>
        <w:t>CHEM 1211 and CHEM 1212</w:t>
      </w:r>
    </w:p>
    <w:p w14:paraId="3E617D79" w14:textId="030AF25D" w:rsidR="00DF79E1" w:rsidRPr="003137D8" w:rsidRDefault="00DF79E1" w:rsidP="00E167BE">
      <w:pPr>
        <w:ind w:left="360"/>
        <w:rPr>
          <w:sz w:val="24"/>
          <w:szCs w:val="24"/>
        </w:rPr>
      </w:pPr>
      <w:r w:rsidRPr="004F2656">
        <w:rPr>
          <w:b/>
          <w:sz w:val="24"/>
          <w:szCs w:val="24"/>
        </w:rPr>
        <w:t>Semester Project Began</w:t>
      </w:r>
      <w:r w:rsidR="003E1BCB" w:rsidRPr="004F2656">
        <w:rPr>
          <w:b/>
          <w:sz w:val="24"/>
          <w:szCs w:val="24"/>
        </w:rPr>
        <w:t>:</w:t>
      </w:r>
      <w:r w:rsidR="003137D8">
        <w:rPr>
          <w:b/>
          <w:sz w:val="24"/>
          <w:szCs w:val="24"/>
        </w:rPr>
        <w:t xml:space="preserve">  </w:t>
      </w:r>
      <w:r w:rsidR="00F6002D">
        <w:rPr>
          <w:sz w:val="24"/>
          <w:szCs w:val="24"/>
        </w:rPr>
        <w:t>Summer</w:t>
      </w:r>
      <w:r w:rsidR="003137D8">
        <w:rPr>
          <w:sz w:val="24"/>
          <w:szCs w:val="24"/>
        </w:rPr>
        <w:t xml:space="preserve"> 2019</w:t>
      </w:r>
    </w:p>
    <w:p w14:paraId="4D2A60B3" w14:textId="5652432C" w:rsidR="00687254" w:rsidRPr="00570F79" w:rsidRDefault="0033401E" w:rsidP="00E167BE">
      <w:pPr>
        <w:ind w:left="360"/>
        <w:rPr>
          <w:sz w:val="24"/>
          <w:szCs w:val="24"/>
        </w:rPr>
      </w:pPr>
      <w:r>
        <w:rPr>
          <w:b/>
          <w:sz w:val="24"/>
          <w:szCs w:val="24"/>
        </w:rPr>
        <w:t xml:space="preserve">Final </w:t>
      </w:r>
      <w:r w:rsidR="00687254" w:rsidRPr="004F2656">
        <w:rPr>
          <w:b/>
          <w:sz w:val="24"/>
          <w:szCs w:val="24"/>
        </w:rPr>
        <w:t>Semester of Implementation</w:t>
      </w:r>
      <w:r w:rsidR="003E1BCB" w:rsidRPr="004F2656">
        <w:rPr>
          <w:b/>
          <w:sz w:val="24"/>
          <w:szCs w:val="24"/>
        </w:rPr>
        <w:t>:</w:t>
      </w:r>
      <w:r w:rsidR="00570F79">
        <w:rPr>
          <w:b/>
          <w:sz w:val="24"/>
          <w:szCs w:val="24"/>
        </w:rPr>
        <w:t xml:space="preserve">  </w:t>
      </w:r>
      <w:r w:rsidR="003137D8">
        <w:rPr>
          <w:sz w:val="24"/>
          <w:szCs w:val="24"/>
        </w:rPr>
        <w:t>S</w:t>
      </w:r>
      <w:r w:rsidR="00F6002D">
        <w:rPr>
          <w:sz w:val="24"/>
          <w:szCs w:val="24"/>
        </w:rPr>
        <w:t>ummer</w:t>
      </w:r>
      <w:r w:rsidR="003137D8">
        <w:rPr>
          <w:sz w:val="24"/>
          <w:szCs w:val="24"/>
        </w:rPr>
        <w:t xml:space="preserve"> 2020</w:t>
      </w:r>
    </w:p>
    <w:p w14:paraId="6AA64C08" w14:textId="2B4DE65B" w:rsidR="00DF79E1" w:rsidRPr="000446CC" w:rsidRDefault="00DF79E1" w:rsidP="00DF79E1">
      <w:pPr>
        <w:ind w:left="360"/>
        <w:rPr>
          <w:sz w:val="24"/>
          <w:szCs w:val="24"/>
        </w:rPr>
      </w:pPr>
      <w:r w:rsidRPr="004F2656">
        <w:rPr>
          <w:b/>
          <w:sz w:val="24"/>
          <w:szCs w:val="24"/>
        </w:rPr>
        <w:t>Total Number of Stud</w:t>
      </w:r>
      <w:r w:rsidR="0033401E">
        <w:rPr>
          <w:b/>
          <w:sz w:val="24"/>
          <w:szCs w:val="24"/>
        </w:rPr>
        <w:t>ents Affected During Project</w:t>
      </w:r>
      <w:r w:rsidR="003E1BCB" w:rsidRPr="004F2656">
        <w:rPr>
          <w:b/>
          <w:sz w:val="24"/>
          <w:szCs w:val="24"/>
        </w:rPr>
        <w:t>:</w:t>
      </w:r>
      <w:r w:rsidR="000446CC">
        <w:rPr>
          <w:b/>
          <w:sz w:val="24"/>
          <w:szCs w:val="24"/>
        </w:rPr>
        <w:t xml:space="preserve">  </w:t>
      </w:r>
      <w:r w:rsidR="000446CC">
        <w:rPr>
          <w:sz w:val="24"/>
          <w:szCs w:val="24"/>
        </w:rPr>
        <w:t>4000+</w:t>
      </w:r>
    </w:p>
    <w:p w14:paraId="6674B072" w14:textId="080649D1" w:rsidR="00DF79E1" w:rsidRPr="004F2656" w:rsidRDefault="00DF79E1" w:rsidP="003F4D85">
      <w:pPr>
        <w:pStyle w:val="Heading1"/>
        <w:numPr>
          <w:ilvl w:val="0"/>
          <w:numId w:val="18"/>
        </w:numPr>
        <w:ind w:left="360"/>
      </w:pPr>
      <w:r w:rsidRPr="004F2656">
        <w:t>Narrative</w:t>
      </w:r>
    </w:p>
    <w:p w14:paraId="3C5803F4" w14:textId="2BA66CB4" w:rsidR="00600E38" w:rsidRDefault="00594886" w:rsidP="00600E38">
      <w:pPr>
        <w:rPr>
          <w:iCs/>
          <w:sz w:val="24"/>
          <w:szCs w:val="24"/>
        </w:rPr>
      </w:pPr>
      <w:r>
        <w:rPr>
          <w:iCs/>
          <w:sz w:val="24"/>
          <w:szCs w:val="24"/>
        </w:rPr>
        <w:t xml:space="preserve">The scope of this project was to finish </w:t>
      </w:r>
      <w:r w:rsidR="005F04B3">
        <w:rPr>
          <w:iCs/>
          <w:sz w:val="24"/>
          <w:szCs w:val="24"/>
        </w:rPr>
        <w:t xml:space="preserve">editing the OpenStax </w:t>
      </w:r>
      <w:r w:rsidR="00043125">
        <w:rPr>
          <w:iCs/>
          <w:sz w:val="24"/>
          <w:szCs w:val="24"/>
        </w:rPr>
        <w:t xml:space="preserve">Chemistry textbook to align with the general chemistry program at UGA.  </w:t>
      </w:r>
      <w:r w:rsidR="00BB25E5">
        <w:rPr>
          <w:iCs/>
          <w:sz w:val="24"/>
          <w:szCs w:val="24"/>
        </w:rPr>
        <w:t xml:space="preserve">The book was approximately half </w:t>
      </w:r>
      <w:r w:rsidR="008E6ABD">
        <w:rPr>
          <w:iCs/>
          <w:sz w:val="24"/>
          <w:szCs w:val="24"/>
        </w:rPr>
        <w:t xml:space="preserve">finished with the editing process when the pandemic required </w:t>
      </w:r>
      <w:r w:rsidR="006F179B">
        <w:rPr>
          <w:iCs/>
          <w:sz w:val="24"/>
          <w:szCs w:val="24"/>
        </w:rPr>
        <w:t xml:space="preserve">us to pivot all of our classes to being online which required </w:t>
      </w:r>
      <w:r w:rsidR="00524FD4">
        <w:rPr>
          <w:iCs/>
          <w:sz w:val="24"/>
          <w:szCs w:val="24"/>
        </w:rPr>
        <w:t xml:space="preserve">the full effort of all the instructors.  </w:t>
      </w:r>
      <w:r w:rsidR="00025E79">
        <w:rPr>
          <w:iCs/>
          <w:sz w:val="24"/>
          <w:szCs w:val="24"/>
        </w:rPr>
        <w:t xml:space="preserve">During this transition from teaching large (280 student sections) face-to-face to going online while maintain the integrity of the classes </w:t>
      </w:r>
      <w:r w:rsidR="005038D8">
        <w:rPr>
          <w:iCs/>
          <w:sz w:val="24"/>
          <w:szCs w:val="24"/>
        </w:rPr>
        <w:t xml:space="preserve">which included student engagement and rigor, a new pedagogy was developed.  </w:t>
      </w:r>
    </w:p>
    <w:p w14:paraId="22755FCE" w14:textId="6EBDAADC" w:rsidR="00C312B1" w:rsidRDefault="00455370" w:rsidP="00600E38">
      <w:pPr>
        <w:rPr>
          <w:iCs/>
          <w:sz w:val="24"/>
          <w:szCs w:val="24"/>
        </w:rPr>
      </w:pPr>
      <w:r>
        <w:rPr>
          <w:iCs/>
          <w:sz w:val="24"/>
          <w:szCs w:val="24"/>
        </w:rPr>
        <w:t xml:space="preserve">We immediately ceased work on the OpenStax textbook and </w:t>
      </w:r>
      <w:r w:rsidR="00593EEC">
        <w:rPr>
          <w:iCs/>
          <w:sz w:val="24"/>
          <w:szCs w:val="24"/>
        </w:rPr>
        <w:t xml:space="preserve">a contract with a book publisher, initially Pearson and subsequently Cengage, was negotiated to provide students with an eTextbook and online </w:t>
      </w:r>
      <w:r w:rsidR="003B3E40">
        <w:rPr>
          <w:iCs/>
          <w:sz w:val="24"/>
          <w:szCs w:val="24"/>
        </w:rPr>
        <w:t>quiz and homework platform for a total fee of $40.00 or less</w:t>
      </w:r>
      <w:r w:rsidR="00207E7F">
        <w:rPr>
          <w:iCs/>
          <w:sz w:val="24"/>
          <w:szCs w:val="24"/>
        </w:rPr>
        <w:t xml:space="preserve"> per semester</w:t>
      </w:r>
      <w:r w:rsidR="003B3E40">
        <w:rPr>
          <w:iCs/>
          <w:sz w:val="24"/>
          <w:szCs w:val="24"/>
        </w:rPr>
        <w:t xml:space="preserve">.  </w:t>
      </w:r>
      <w:r w:rsidR="00F530AA">
        <w:rPr>
          <w:iCs/>
          <w:sz w:val="24"/>
          <w:szCs w:val="24"/>
        </w:rPr>
        <w:t xml:space="preserve">With classes pivoting to being online and asynchronous, video lectures using Kaltura were prepared </w:t>
      </w:r>
      <w:r w:rsidR="00FA0263">
        <w:rPr>
          <w:iCs/>
          <w:sz w:val="24"/>
          <w:szCs w:val="24"/>
        </w:rPr>
        <w:t xml:space="preserve">and posted on the learning management system.  </w:t>
      </w:r>
      <w:r w:rsidR="00FA0263">
        <w:rPr>
          <w:iCs/>
          <w:sz w:val="24"/>
          <w:szCs w:val="24"/>
        </w:rPr>
        <w:t xml:space="preserve">Prior to the pandemic, a part of our pedagogy was to utilize interactive lectures augmented with student response questions to gage their understanding.  </w:t>
      </w:r>
      <w:r w:rsidR="00FA0263">
        <w:rPr>
          <w:iCs/>
          <w:sz w:val="24"/>
          <w:szCs w:val="24"/>
        </w:rPr>
        <w:t>But this was untenable with asynchronous classes</w:t>
      </w:r>
      <w:r w:rsidR="00701A85">
        <w:rPr>
          <w:iCs/>
          <w:sz w:val="24"/>
          <w:szCs w:val="24"/>
        </w:rPr>
        <w:t xml:space="preserve"> and so the student response questions were converted into worksheets that accompanied each video lecture.  </w:t>
      </w:r>
      <w:r w:rsidR="00C312B1">
        <w:rPr>
          <w:iCs/>
          <w:sz w:val="24"/>
          <w:szCs w:val="24"/>
        </w:rPr>
        <w:t>Not surprisingly, we found that when the students were required to show all of their work on these worksheet</w:t>
      </w:r>
      <w:r w:rsidR="00A40738">
        <w:rPr>
          <w:iCs/>
          <w:sz w:val="24"/>
          <w:szCs w:val="24"/>
        </w:rPr>
        <w:t>s</w:t>
      </w:r>
      <w:r w:rsidR="00C312B1">
        <w:rPr>
          <w:iCs/>
          <w:sz w:val="24"/>
          <w:szCs w:val="24"/>
        </w:rPr>
        <w:t xml:space="preserve"> rather than just answering a student response question during class, </w:t>
      </w:r>
      <w:r w:rsidR="00DC5DA4">
        <w:rPr>
          <w:iCs/>
          <w:sz w:val="24"/>
          <w:szCs w:val="24"/>
        </w:rPr>
        <w:t xml:space="preserve">they had better comprehension and retention of the </w:t>
      </w:r>
      <w:r w:rsidR="00991FF3">
        <w:rPr>
          <w:iCs/>
          <w:sz w:val="24"/>
          <w:szCs w:val="24"/>
        </w:rPr>
        <w:t xml:space="preserve">concepts.  </w:t>
      </w:r>
      <w:r w:rsidR="00A40738">
        <w:rPr>
          <w:iCs/>
          <w:sz w:val="24"/>
          <w:szCs w:val="24"/>
        </w:rPr>
        <w:t xml:space="preserve">The students had greater understanding of the content but the instructors were buried in </w:t>
      </w:r>
      <w:r w:rsidR="000F1067">
        <w:rPr>
          <w:iCs/>
          <w:sz w:val="24"/>
          <w:szCs w:val="24"/>
        </w:rPr>
        <w:t xml:space="preserve">the </w:t>
      </w:r>
      <w:r w:rsidR="00A40738">
        <w:rPr>
          <w:iCs/>
          <w:sz w:val="24"/>
          <w:szCs w:val="24"/>
        </w:rPr>
        <w:t xml:space="preserve">grading </w:t>
      </w:r>
      <w:r w:rsidR="000F1067">
        <w:rPr>
          <w:iCs/>
          <w:sz w:val="24"/>
          <w:szCs w:val="24"/>
        </w:rPr>
        <w:t xml:space="preserve">of </w:t>
      </w:r>
      <w:r w:rsidR="00A40738">
        <w:rPr>
          <w:iCs/>
          <w:sz w:val="24"/>
          <w:szCs w:val="24"/>
        </w:rPr>
        <w:t>these worksheets</w:t>
      </w:r>
      <w:r w:rsidR="000F1067">
        <w:rPr>
          <w:iCs/>
          <w:sz w:val="24"/>
          <w:szCs w:val="24"/>
        </w:rPr>
        <w:t xml:space="preserve">.  </w:t>
      </w:r>
    </w:p>
    <w:p w14:paraId="2AA4F2E9" w14:textId="554BA61C" w:rsidR="00593EEC" w:rsidRDefault="00701A85" w:rsidP="00600E38">
      <w:pPr>
        <w:rPr>
          <w:iCs/>
          <w:sz w:val="24"/>
          <w:szCs w:val="24"/>
        </w:rPr>
      </w:pPr>
      <w:r>
        <w:rPr>
          <w:iCs/>
          <w:sz w:val="24"/>
          <w:szCs w:val="24"/>
        </w:rPr>
        <w:t xml:space="preserve"> </w:t>
      </w:r>
      <w:r w:rsidR="000F1067">
        <w:rPr>
          <w:iCs/>
          <w:sz w:val="24"/>
          <w:szCs w:val="24"/>
        </w:rPr>
        <w:t xml:space="preserve">As the pandemic continued, the new model for our classes evolved.  </w:t>
      </w:r>
      <w:r>
        <w:rPr>
          <w:iCs/>
          <w:sz w:val="24"/>
          <w:szCs w:val="24"/>
        </w:rPr>
        <w:t>B</w:t>
      </w:r>
      <w:r w:rsidR="009C6916">
        <w:rPr>
          <w:iCs/>
          <w:sz w:val="24"/>
          <w:szCs w:val="24"/>
        </w:rPr>
        <w:t>ecause students were unable to interact with one another</w:t>
      </w:r>
      <w:r w:rsidR="00E75554">
        <w:rPr>
          <w:iCs/>
          <w:sz w:val="24"/>
          <w:szCs w:val="24"/>
        </w:rPr>
        <w:t xml:space="preserve">, a plan was devised to help alleviate their feelings of isolation.  </w:t>
      </w:r>
      <w:r w:rsidR="00F855E1">
        <w:rPr>
          <w:iCs/>
          <w:sz w:val="24"/>
          <w:szCs w:val="24"/>
        </w:rPr>
        <w:t xml:space="preserve">The following semester, a weekly, 50-minute mandatory recitation session was implemented for all sections of CHEM 1211 and CHEM 1212 classes.  </w:t>
      </w:r>
      <w:r w:rsidR="00793D79">
        <w:rPr>
          <w:iCs/>
          <w:sz w:val="24"/>
          <w:szCs w:val="24"/>
        </w:rPr>
        <w:t xml:space="preserve">Initially these recitation sessions were delivered via Zoom.  Students were placed in Zoom breakout rooms containing 5-6 students each and Peer Learning Assistants (PLAs) were assigned to </w:t>
      </w:r>
      <w:r w:rsidR="00B307FA">
        <w:rPr>
          <w:iCs/>
          <w:sz w:val="24"/>
          <w:szCs w:val="24"/>
        </w:rPr>
        <w:t>two to three rooms to which they rotate.  Students were to work in groups on the recitation worksheets, showing all of their work</w:t>
      </w:r>
      <w:r w:rsidR="00A37727">
        <w:rPr>
          <w:iCs/>
          <w:sz w:val="24"/>
          <w:szCs w:val="24"/>
        </w:rPr>
        <w:t xml:space="preserve">, and then submit them to Gradescope.  </w:t>
      </w:r>
      <w:r w:rsidR="00883FC5">
        <w:rPr>
          <w:iCs/>
          <w:sz w:val="24"/>
          <w:szCs w:val="24"/>
        </w:rPr>
        <w:t xml:space="preserve">To alleviate the </w:t>
      </w:r>
      <w:r w:rsidR="00883FC5">
        <w:rPr>
          <w:iCs/>
          <w:sz w:val="24"/>
          <w:szCs w:val="24"/>
        </w:rPr>
        <w:t xml:space="preserve">instructor’s </w:t>
      </w:r>
      <w:r w:rsidR="00883FC5">
        <w:rPr>
          <w:iCs/>
          <w:sz w:val="24"/>
          <w:szCs w:val="24"/>
        </w:rPr>
        <w:t>arduous task of grading these numerous worksheets</w:t>
      </w:r>
      <w:r w:rsidR="00883FC5">
        <w:rPr>
          <w:iCs/>
          <w:sz w:val="24"/>
          <w:szCs w:val="24"/>
        </w:rPr>
        <w:t xml:space="preserve">, </w:t>
      </w:r>
      <w:r w:rsidR="00A37727">
        <w:rPr>
          <w:iCs/>
          <w:sz w:val="24"/>
          <w:szCs w:val="24"/>
        </w:rPr>
        <w:t>graduate student</w:t>
      </w:r>
      <w:r w:rsidR="001D02AC">
        <w:rPr>
          <w:iCs/>
          <w:sz w:val="24"/>
          <w:szCs w:val="24"/>
        </w:rPr>
        <w:t>s</w:t>
      </w:r>
      <w:r w:rsidR="00A37727">
        <w:rPr>
          <w:iCs/>
          <w:sz w:val="24"/>
          <w:szCs w:val="24"/>
        </w:rPr>
        <w:t xml:space="preserve"> w</w:t>
      </w:r>
      <w:r w:rsidR="001D02AC">
        <w:rPr>
          <w:iCs/>
          <w:sz w:val="24"/>
          <w:szCs w:val="24"/>
        </w:rPr>
        <w:t>ere</w:t>
      </w:r>
      <w:r w:rsidR="00A37727">
        <w:rPr>
          <w:iCs/>
          <w:sz w:val="24"/>
          <w:szCs w:val="24"/>
        </w:rPr>
        <w:t xml:space="preserve"> employed to grade the worksheets.  </w:t>
      </w:r>
      <w:r w:rsidR="00883FC5">
        <w:rPr>
          <w:iCs/>
          <w:sz w:val="24"/>
          <w:szCs w:val="24"/>
        </w:rPr>
        <w:t>In utilizing Gradescope, a graduate student could grade 1000 weekly worksheets in approximately 5-8 hours</w:t>
      </w:r>
      <w:r w:rsidR="001D02AC">
        <w:rPr>
          <w:iCs/>
          <w:sz w:val="24"/>
          <w:szCs w:val="24"/>
        </w:rPr>
        <w:t xml:space="preserve">.  </w:t>
      </w:r>
    </w:p>
    <w:p w14:paraId="52306D1E" w14:textId="7F599573" w:rsidR="00165BB7" w:rsidRDefault="00165BB7" w:rsidP="00600E38">
      <w:pPr>
        <w:rPr>
          <w:iCs/>
          <w:sz w:val="24"/>
          <w:szCs w:val="24"/>
        </w:rPr>
      </w:pPr>
      <w:r>
        <w:rPr>
          <w:iCs/>
          <w:sz w:val="24"/>
          <w:szCs w:val="24"/>
        </w:rPr>
        <w:t>While many classes had a reduction in grades, retention, and understanding of the con</w:t>
      </w:r>
      <w:r w:rsidR="001900FF">
        <w:rPr>
          <w:iCs/>
          <w:sz w:val="24"/>
          <w:szCs w:val="24"/>
        </w:rPr>
        <w:t xml:space="preserve">tent presented, the general chemistry classes using this model showed </w:t>
      </w:r>
      <w:r w:rsidR="002A4EBE">
        <w:rPr>
          <w:iCs/>
          <w:sz w:val="24"/>
          <w:szCs w:val="24"/>
        </w:rPr>
        <w:t xml:space="preserve">little to </w:t>
      </w:r>
      <w:r w:rsidR="001900FF">
        <w:rPr>
          <w:iCs/>
          <w:sz w:val="24"/>
          <w:szCs w:val="24"/>
        </w:rPr>
        <w:t>no decrease</w:t>
      </w:r>
      <w:r w:rsidR="002A4EBE">
        <w:rPr>
          <w:iCs/>
          <w:sz w:val="24"/>
          <w:szCs w:val="24"/>
        </w:rPr>
        <w:t xml:space="preserve">.  One indicator that was used to determine this was student scores on prepared ACS exams.  </w:t>
      </w:r>
    </w:p>
    <w:p w14:paraId="2AC753EA" w14:textId="62260838" w:rsidR="002A4EBE" w:rsidRDefault="00114CF2" w:rsidP="00600E38">
      <w:pPr>
        <w:rPr>
          <w:iCs/>
          <w:sz w:val="24"/>
          <w:szCs w:val="24"/>
        </w:rPr>
      </w:pPr>
      <w:r>
        <w:rPr>
          <w:iCs/>
          <w:sz w:val="24"/>
          <w:szCs w:val="24"/>
        </w:rPr>
        <w:t xml:space="preserve">When classes returned to being minimally face-to-face, the general chemistry classes continued to utilize video lectures and asynchronous classes, but the recitations were face-to-face in a room where social distancing </w:t>
      </w:r>
      <w:r w:rsidR="00C65CEF">
        <w:rPr>
          <w:iCs/>
          <w:sz w:val="24"/>
          <w:szCs w:val="24"/>
        </w:rPr>
        <w:t xml:space="preserve">was practiced.  The recitations were attended by the students, PLAs and instructors.  </w:t>
      </w:r>
      <w:r w:rsidR="00BC04CF">
        <w:rPr>
          <w:iCs/>
          <w:sz w:val="24"/>
          <w:szCs w:val="24"/>
        </w:rPr>
        <w:t xml:space="preserve">The ratio of students to PLAs used was 18 to 1.  </w:t>
      </w:r>
      <w:r w:rsidR="00C65CEF">
        <w:rPr>
          <w:iCs/>
          <w:sz w:val="24"/>
          <w:szCs w:val="24"/>
        </w:rPr>
        <w:t xml:space="preserve">To ensure social distancing was practiced </w:t>
      </w:r>
      <w:r w:rsidR="00B148F3">
        <w:rPr>
          <w:iCs/>
          <w:sz w:val="24"/>
          <w:szCs w:val="24"/>
        </w:rPr>
        <w:t>during the recitations while answering questions, PLAs were each given a rolling four</w:t>
      </w:r>
      <w:r w:rsidR="00CE7D18">
        <w:rPr>
          <w:iCs/>
          <w:sz w:val="24"/>
          <w:szCs w:val="24"/>
        </w:rPr>
        <w:t>-</w:t>
      </w:r>
      <w:r w:rsidR="00B148F3">
        <w:rPr>
          <w:iCs/>
          <w:sz w:val="24"/>
          <w:szCs w:val="24"/>
        </w:rPr>
        <w:t>foot by thre</w:t>
      </w:r>
      <w:r w:rsidR="00BC04CF">
        <w:rPr>
          <w:iCs/>
          <w:sz w:val="24"/>
          <w:szCs w:val="24"/>
        </w:rPr>
        <w:t>e-</w:t>
      </w:r>
      <w:r w:rsidR="00B148F3">
        <w:rPr>
          <w:iCs/>
          <w:sz w:val="24"/>
          <w:szCs w:val="24"/>
        </w:rPr>
        <w:t xml:space="preserve">foot </w:t>
      </w:r>
      <w:r w:rsidR="00CE7D18">
        <w:rPr>
          <w:iCs/>
          <w:sz w:val="24"/>
          <w:szCs w:val="24"/>
        </w:rPr>
        <w:t xml:space="preserve">reversible </w:t>
      </w:r>
      <w:r w:rsidR="00B148F3">
        <w:rPr>
          <w:iCs/>
          <w:sz w:val="24"/>
          <w:szCs w:val="24"/>
        </w:rPr>
        <w:t xml:space="preserve">whiteboard.  </w:t>
      </w:r>
      <w:r w:rsidR="00CE7D18">
        <w:rPr>
          <w:iCs/>
          <w:sz w:val="24"/>
          <w:szCs w:val="24"/>
        </w:rPr>
        <w:t xml:space="preserve">In order to ensure the PLAs were ready for the recitations, </w:t>
      </w:r>
      <w:r w:rsidR="00DC0D72">
        <w:rPr>
          <w:iCs/>
          <w:sz w:val="24"/>
          <w:szCs w:val="24"/>
        </w:rPr>
        <w:t xml:space="preserve">a weekly PLA meeting was held by Zoom to </w:t>
      </w:r>
      <w:r w:rsidR="00E16AFF">
        <w:rPr>
          <w:iCs/>
          <w:sz w:val="24"/>
          <w:szCs w:val="24"/>
        </w:rPr>
        <w:t>review the worksheet content and they were provided with a key.</w:t>
      </w:r>
    </w:p>
    <w:p w14:paraId="6816267B" w14:textId="6C7DE493" w:rsidR="00E16AFF" w:rsidRDefault="00E16AFF" w:rsidP="00600E38">
      <w:pPr>
        <w:rPr>
          <w:iCs/>
          <w:sz w:val="24"/>
          <w:szCs w:val="24"/>
        </w:rPr>
      </w:pPr>
      <w:r>
        <w:rPr>
          <w:iCs/>
          <w:sz w:val="24"/>
          <w:szCs w:val="24"/>
        </w:rPr>
        <w:t xml:space="preserve">As the University opened up and classes resumed normally, </w:t>
      </w:r>
      <w:r w:rsidR="00542F48">
        <w:rPr>
          <w:iCs/>
          <w:sz w:val="24"/>
          <w:szCs w:val="24"/>
        </w:rPr>
        <w:t xml:space="preserve">this model was further refined.  Lessons learned from earlier semesters were implemented.  Initially, recitations were paired with a lecture class and </w:t>
      </w:r>
      <w:r w:rsidR="00657A27">
        <w:rPr>
          <w:iCs/>
          <w:sz w:val="24"/>
          <w:szCs w:val="24"/>
        </w:rPr>
        <w:t xml:space="preserve">a given cohort attended together.  However, the recitation times paired with a lecture were not necessarily held at convenient times for </w:t>
      </w:r>
      <w:r w:rsidR="00784B38">
        <w:rPr>
          <w:iCs/>
          <w:sz w:val="24"/>
          <w:szCs w:val="24"/>
        </w:rPr>
        <w:t xml:space="preserve">all the </w:t>
      </w:r>
      <w:r w:rsidR="00657A27">
        <w:rPr>
          <w:iCs/>
          <w:sz w:val="24"/>
          <w:szCs w:val="24"/>
        </w:rPr>
        <w:t>students in the lecture</w:t>
      </w:r>
      <w:r w:rsidR="00784B38">
        <w:rPr>
          <w:iCs/>
          <w:sz w:val="24"/>
          <w:szCs w:val="24"/>
        </w:rPr>
        <w:t xml:space="preserve">.  Ultimately, the recitation sections were separated from the lectures and were offered for zero credit hours and at </w:t>
      </w:r>
      <w:r w:rsidR="001305A5">
        <w:rPr>
          <w:iCs/>
          <w:sz w:val="24"/>
          <w:szCs w:val="24"/>
        </w:rPr>
        <w:t xml:space="preserve">numerous times of the day.  A student would then register for a lecture, recitation and a lab section.  </w:t>
      </w:r>
    </w:p>
    <w:p w14:paraId="34B6DE14" w14:textId="122AA6D8" w:rsidR="00483FD4" w:rsidRDefault="00483FD4" w:rsidP="00600E38">
      <w:pPr>
        <w:rPr>
          <w:iCs/>
          <w:sz w:val="24"/>
          <w:szCs w:val="24"/>
        </w:rPr>
      </w:pPr>
      <w:r>
        <w:rPr>
          <w:iCs/>
          <w:sz w:val="24"/>
          <w:szCs w:val="24"/>
        </w:rPr>
        <w:t xml:space="preserve">Merely going over the material on the </w:t>
      </w:r>
      <w:r w:rsidR="00D040D1">
        <w:rPr>
          <w:iCs/>
          <w:sz w:val="24"/>
          <w:szCs w:val="24"/>
        </w:rPr>
        <w:t xml:space="preserve">recitation </w:t>
      </w:r>
      <w:r>
        <w:rPr>
          <w:iCs/>
          <w:sz w:val="24"/>
          <w:szCs w:val="24"/>
        </w:rPr>
        <w:t xml:space="preserve">worksheets </w:t>
      </w:r>
      <w:r w:rsidR="001B29F9">
        <w:rPr>
          <w:iCs/>
          <w:sz w:val="24"/>
          <w:szCs w:val="24"/>
        </w:rPr>
        <w:t xml:space="preserve">in weekly meetings with the PLAs was insufficient to ensure their ability to explain concepts and answer questions during the recitations.  This </w:t>
      </w:r>
      <w:r w:rsidR="00B15408">
        <w:rPr>
          <w:iCs/>
          <w:sz w:val="24"/>
          <w:szCs w:val="24"/>
        </w:rPr>
        <w:t xml:space="preserve">procedure </w:t>
      </w:r>
      <w:r w:rsidR="001B29F9">
        <w:rPr>
          <w:iCs/>
          <w:sz w:val="24"/>
          <w:szCs w:val="24"/>
        </w:rPr>
        <w:t xml:space="preserve">was subsequently changed </w:t>
      </w:r>
      <w:r w:rsidR="00B15408">
        <w:rPr>
          <w:iCs/>
          <w:sz w:val="24"/>
          <w:szCs w:val="24"/>
        </w:rPr>
        <w:t>and PLAs were required to do the worksheet and turn it in to Gradescope prior to their weekly meeting.  The PLA worksheets were graded</w:t>
      </w:r>
      <w:r w:rsidR="008C24D0">
        <w:rPr>
          <w:iCs/>
          <w:sz w:val="24"/>
          <w:szCs w:val="24"/>
        </w:rPr>
        <w:t xml:space="preserve"> and the questions that were most often missed were discussed in the weekly meetings.  We found that when the PLAs actually did the worksheet problems, they were able to answer student questions during recitation without the necessity of “reading” the key to them.  </w:t>
      </w:r>
    </w:p>
    <w:p w14:paraId="3F3CB4D8" w14:textId="77777777" w:rsidR="001D0862" w:rsidRDefault="00BA071F" w:rsidP="00600E38">
      <w:pPr>
        <w:rPr>
          <w:iCs/>
          <w:sz w:val="24"/>
          <w:szCs w:val="24"/>
        </w:rPr>
      </w:pPr>
      <w:r>
        <w:rPr>
          <w:iCs/>
          <w:sz w:val="24"/>
          <w:szCs w:val="24"/>
        </w:rPr>
        <w:t xml:space="preserve">Lastly, we </w:t>
      </w:r>
      <w:r w:rsidR="00E30F06">
        <w:rPr>
          <w:iCs/>
          <w:sz w:val="24"/>
          <w:szCs w:val="24"/>
        </w:rPr>
        <w:t xml:space="preserve">implemented our own </w:t>
      </w:r>
      <w:r w:rsidR="00F66100">
        <w:rPr>
          <w:iCs/>
          <w:sz w:val="24"/>
          <w:szCs w:val="24"/>
        </w:rPr>
        <w:t>peer assistant program, the Chemistry Learning Assistant (CLA) program.  This was accomplished by securing funding</w:t>
      </w:r>
      <w:r w:rsidR="0013122B">
        <w:rPr>
          <w:iCs/>
          <w:sz w:val="24"/>
          <w:szCs w:val="24"/>
        </w:rPr>
        <w:t xml:space="preserve"> for the program and then creating a Qualtrics application that students who wish to serve in this capacity fill out.  </w:t>
      </w:r>
      <w:r w:rsidR="00902941">
        <w:rPr>
          <w:iCs/>
          <w:sz w:val="24"/>
          <w:szCs w:val="24"/>
        </w:rPr>
        <w:t xml:space="preserve">This program is enormously successful; we currently have more than 400 applications for about 150 openings.  This program is </w:t>
      </w:r>
      <w:r w:rsidR="00204C8C">
        <w:rPr>
          <w:iCs/>
          <w:sz w:val="24"/>
          <w:szCs w:val="24"/>
        </w:rPr>
        <w:t xml:space="preserve">very time consuming and labor intensive, so two Lecturers have been given a course release each semester to manage the CLAs for CHEM 1211 and 1212.  Eventually, this will need to be followed for the organic chemistry classes using CLAs as well.  </w:t>
      </w:r>
    </w:p>
    <w:p w14:paraId="0ADD06E3" w14:textId="77777777" w:rsidR="0087597A" w:rsidRDefault="00A10831" w:rsidP="00600E38">
      <w:pPr>
        <w:rPr>
          <w:iCs/>
          <w:sz w:val="24"/>
          <w:szCs w:val="24"/>
        </w:rPr>
      </w:pPr>
      <w:r>
        <w:rPr>
          <w:iCs/>
          <w:sz w:val="24"/>
          <w:szCs w:val="24"/>
        </w:rPr>
        <w:t xml:space="preserve">Students serving as a CLA for the first time </w:t>
      </w:r>
      <w:r w:rsidR="00003AF5">
        <w:rPr>
          <w:iCs/>
          <w:sz w:val="24"/>
          <w:szCs w:val="24"/>
        </w:rPr>
        <w:t xml:space="preserve">are required to take a STEM pedagogy class (CHEM 3710) that we developed and teach.  </w:t>
      </w:r>
      <w:r w:rsidR="00D15DC1">
        <w:rPr>
          <w:iCs/>
          <w:sz w:val="24"/>
          <w:szCs w:val="24"/>
        </w:rPr>
        <w:t xml:space="preserve">This is a three-credit hour </w:t>
      </w:r>
      <w:r w:rsidR="00885625">
        <w:rPr>
          <w:iCs/>
          <w:sz w:val="24"/>
          <w:szCs w:val="24"/>
        </w:rPr>
        <w:t xml:space="preserve">class with one hour per week spent in a class discussion and </w:t>
      </w:r>
      <w:r w:rsidR="002722ED">
        <w:rPr>
          <w:iCs/>
          <w:sz w:val="24"/>
          <w:szCs w:val="24"/>
        </w:rPr>
        <w:t xml:space="preserve">the remaining two hours as student instruction.  </w:t>
      </w:r>
      <w:r w:rsidR="009158F8">
        <w:rPr>
          <w:iCs/>
          <w:sz w:val="24"/>
          <w:szCs w:val="24"/>
        </w:rPr>
        <w:t xml:space="preserve">Experiential Learning credit is also given </w:t>
      </w:r>
      <w:r w:rsidR="00C77F8E">
        <w:rPr>
          <w:iCs/>
          <w:sz w:val="24"/>
          <w:szCs w:val="24"/>
        </w:rPr>
        <w:t>upon</w:t>
      </w:r>
      <w:r w:rsidR="009158F8">
        <w:rPr>
          <w:iCs/>
          <w:sz w:val="24"/>
          <w:szCs w:val="24"/>
        </w:rPr>
        <w:t xml:space="preserve"> completion of the class.  </w:t>
      </w:r>
      <w:r w:rsidR="00920D9A">
        <w:rPr>
          <w:iCs/>
          <w:sz w:val="24"/>
          <w:szCs w:val="24"/>
        </w:rPr>
        <w:t xml:space="preserve">Chemistry Learning Assistants </w:t>
      </w:r>
      <w:r w:rsidR="009B019E">
        <w:rPr>
          <w:iCs/>
          <w:sz w:val="24"/>
          <w:szCs w:val="24"/>
        </w:rPr>
        <w:t xml:space="preserve">are required to be engaged for five hours per week.  One </w:t>
      </w:r>
      <w:r w:rsidR="00F53EC9">
        <w:rPr>
          <w:iCs/>
          <w:sz w:val="24"/>
          <w:szCs w:val="24"/>
        </w:rPr>
        <w:t>hour is provided for them to complete the worksheet; one hour for the weekly CLA meeting</w:t>
      </w:r>
      <w:r w:rsidR="00043518">
        <w:rPr>
          <w:iCs/>
          <w:sz w:val="24"/>
          <w:szCs w:val="24"/>
        </w:rPr>
        <w:t xml:space="preserve">; </w:t>
      </w:r>
      <w:r w:rsidR="00F53EC9">
        <w:rPr>
          <w:iCs/>
          <w:sz w:val="24"/>
          <w:szCs w:val="24"/>
        </w:rPr>
        <w:t xml:space="preserve">one hour spent in recitation; and the remaining </w:t>
      </w:r>
      <w:r w:rsidR="00043518">
        <w:rPr>
          <w:iCs/>
          <w:sz w:val="24"/>
          <w:szCs w:val="24"/>
        </w:rPr>
        <w:t xml:space="preserve">two hours doing a variety of activities </w:t>
      </w:r>
      <w:r w:rsidR="001F16E4">
        <w:rPr>
          <w:iCs/>
          <w:sz w:val="24"/>
          <w:szCs w:val="24"/>
        </w:rPr>
        <w:t xml:space="preserve">of their choice.  </w:t>
      </w:r>
      <w:r w:rsidR="009A6C59">
        <w:rPr>
          <w:iCs/>
          <w:sz w:val="24"/>
          <w:szCs w:val="24"/>
        </w:rPr>
        <w:t xml:space="preserve">The additional activities include, making videos to explain difficult problems, holding office hours, annotating worksheets or exams, working in a group to </w:t>
      </w:r>
      <w:r w:rsidR="009A1043">
        <w:rPr>
          <w:iCs/>
          <w:sz w:val="24"/>
          <w:szCs w:val="24"/>
        </w:rPr>
        <w:t xml:space="preserve">make a video key of the exams, monitoring a Discord server for questions, writing recitation questions, </w:t>
      </w:r>
      <w:r w:rsidR="001D0862">
        <w:rPr>
          <w:iCs/>
          <w:sz w:val="24"/>
          <w:szCs w:val="24"/>
        </w:rPr>
        <w:t xml:space="preserve">and </w:t>
      </w:r>
      <w:r w:rsidR="009A1043">
        <w:rPr>
          <w:iCs/>
          <w:sz w:val="24"/>
          <w:szCs w:val="24"/>
        </w:rPr>
        <w:t xml:space="preserve">working in groups to prepare and deliver </w:t>
      </w:r>
      <w:r w:rsidR="001D0862">
        <w:rPr>
          <w:iCs/>
          <w:sz w:val="24"/>
          <w:szCs w:val="24"/>
        </w:rPr>
        <w:t xml:space="preserve">exam reviews.  </w:t>
      </w:r>
    </w:p>
    <w:p w14:paraId="0957FF25" w14:textId="028613F8" w:rsidR="00161AD2" w:rsidRDefault="0087597A" w:rsidP="00600E38">
      <w:pPr>
        <w:rPr>
          <w:iCs/>
          <w:sz w:val="24"/>
          <w:szCs w:val="24"/>
        </w:rPr>
      </w:pPr>
      <w:r>
        <w:rPr>
          <w:iCs/>
          <w:sz w:val="24"/>
          <w:szCs w:val="24"/>
        </w:rPr>
        <w:t xml:space="preserve">Students serving as a CLA for the second or greater time, have two choice how they wish to proceed.  They can be paid for five hours per week at a rate of $11.00 per hour.  Alternatively, they can take CHEM 3710 a second time and serve as a mentor to the new CLAs.  </w:t>
      </w:r>
      <w:r w:rsidR="00DB4D85">
        <w:rPr>
          <w:iCs/>
          <w:sz w:val="24"/>
          <w:szCs w:val="24"/>
        </w:rPr>
        <w:t xml:space="preserve">Most of our CLAs have taken one year each of general and organic chemistry classes for their majors.  </w:t>
      </w:r>
      <w:r w:rsidR="000F2CD1">
        <w:rPr>
          <w:iCs/>
          <w:sz w:val="24"/>
          <w:szCs w:val="24"/>
        </w:rPr>
        <w:t>This option of taking CHEM 3710 twice will provide the</w:t>
      </w:r>
      <w:r w:rsidR="00DB4D85">
        <w:rPr>
          <w:iCs/>
          <w:sz w:val="24"/>
          <w:szCs w:val="24"/>
        </w:rPr>
        <w:t>se</w:t>
      </w:r>
      <w:r w:rsidR="000F2CD1">
        <w:rPr>
          <w:iCs/>
          <w:sz w:val="24"/>
          <w:szCs w:val="24"/>
        </w:rPr>
        <w:t xml:space="preserve"> CLAs with the opportunity to take one additional upper division chemistry class to earn a minor degree in chemistry.  </w:t>
      </w:r>
      <w:r w:rsidR="00F07BA1">
        <w:rPr>
          <w:iCs/>
          <w:sz w:val="24"/>
          <w:szCs w:val="24"/>
        </w:rPr>
        <w:t>After running this program for just two semesters, there are approximately 30 CLAs pursuing the chemistry minor through this avenue.  In the first two semesters that CHEM 3710 w</w:t>
      </w:r>
      <w:r w:rsidR="00314EF2">
        <w:rPr>
          <w:iCs/>
          <w:sz w:val="24"/>
          <w:szCs w:val="24"/>
        </w:rPr>
        <w:t>a</w:t>
      </w:r>
      <w:r w:rsidR="00F07BA1">
        <w:rPr>
          <w:iCs/>
          <w:sz w:val="24"/>
          <w:szCs w:val="24"/>
        </w:rPr>
        <w:t xml:space="preserve">s offered, there were about 85 students enrolled for each </w:t>
      </w:r>
      <w:r w:rsidR="00161AD2">
        <w:rPr>
          <w:iCs/>
          <w:sz w:val="24"/>
          <w:szCs w:val="24"/>
        </w:rPr>
        <w:t xml:space="preserve">of the two </w:t>
      </w:r>
      <w:r w:rsidR="00F07BA1">
        <w:rPr>
          <w:iCs/>
          <w:sz w:val="24"/>
          <w:szCs w:val="24"/>
        </w:rPr>
        <w:t>semester</w:t>
      </w:r>
      <w:r w:rsidR="00161AD2">
        <w:rPr>
          <w:iCs/>
          <w:sz w:val="24"/>
          <w:szCs w:val="24"/>
        </w:rPr>
        <w:t>s</w:t>
      </w:r>
      <w:r w:rsidR="00F07BA1">
        <w:rPr>
          <w:iCs/>
          <w:sz w:val="24"/>
          <w:szCs w:val="24"/>
        </w:rPr>
        <w:t xml:space="preserve">.  </w:t>
      </w:r>
      <w:r w:rsidR="00161AD2">
        <w:rPr>
          <w:iCs/>
          <w:sz w:val="24"/>
          <w:szCs w:val="24"/>
        </w:rPr>
        <w:t>In the coming semester, it is anticipated that there will be more than 100 students taking CHEM 3710.</w:t>
      </w:r>
    </w:p>
    <w:p w14:paraId="79E73BBF" w14:textId="7EA92C92" w:rsidR="00A303A0" w:rsidRPr="00A303A0" w:rsidRDefault="00A303A0" w:rsidP="00A303A0">
      <w:pPr>
        <w:pStyle w:val="ListParagraph"/>
        <w:ind w:left="0"/>
        <w:rPr>
          <w:iCs/>
          <w:sz w:val="24"/>
          <w:szCs w:val="24"/>
        </w:rPr>
      </w:pPr>
      <w:r>
        <w:rPr>
          <w:iCs/>
          <w:sz w:val="24"/>
          <w:szCs w:val="24"/>
        </w:rPr>
        <w:t xml:space="preserve">A </w:t>
      </w:r>
      <w:r w:rsidR="00034638">
        <w:rPr>
          <w:iCs/>
          <w:sz w:val="24"/>
          <w:szCs w:val="24"/>
        </w:rPr>
        <w:t xml:space="preserve">folder containing </w:t>
      </w:r>
      <w:r w:rsidR="00B77B34">
        <w:rPr>
          <w:iCs/>
          <w:sz w:val="24"/>
          <w:szCs w:val="24"/>
        </w:rPr>
        <w:t xml:space="preserve">recitation worksheets for </w:t>
      </w:r>
      <w:r w:rsidR="005B4DE1">
        <w:rPr>
          <w:iCs/>
          <w:sz w:val="24"/>
          <w:szCs w:val="24"/>
        </w:rPr>
        <w:t xml:space="preserve">a semester of </w:t>
      </w:r>
      <w:r w:rsidR="00B77B34">
        <w:rPr>
          <w:iCs/>
          <w:sz w:val="24"/>
          <w:szCs w:val="24"/>
        </w:rPr>
        <w:t>General Chemistry I and II</w:t>
      </w:r>
      <w:r w:rsidR="008C7663">
        <w:rPr>
          <w:iCs/>
          <w:sz w:val="24"/>
          <w:szCs w:val="24"/>
        </w:rPr>
        <w:t xml:space="preserve">, </w:t>
      </w:r>
      <w:r w:rsidR="00B77B34">
        <w:rPr>
          <w:iCs/>
          <w:sz w:val="24"/>
          <w:szCs w:val="24"/>
        </w:rPr>
        <w:t>CHEM 1211 and CHEM 1212</w:t>
      </w:r>
      <w:r w:rsidR="008C7663">
        <w:rPr>
          <w:iCs/>
          <w:sz w:val="24"/>
          <w:szCs w:val="24"/>
        </w:rPr>
        <w:t xml:space="preserve">, </w:t>
      </w:r>
      <w:r w:rsidR="0094688D">
        <w:rPr>
          <w:iCs/>
          <w:sz w:val="24"/>
          <w:szCs w:val="24"/>
        </w:rPr>
        <w:t>has been submitted</w:t>
      </w:r>
      <w:r w:rsidR="0085372E">
        <w:rPr>
          <w:iCs/>
          <w:sz w:val="24"/>
          <w:szCs w:val="24"/>
        </w:rPr>
        <w:t xml:space="preserve"> and detailed instructions for students to convert worksheets to a PDF and then upload to Gradescope is also </w:t>
      </w:r>
      <w:r w:rsidR="00BA071F">
        <w:rPr>
          <w:iCs/>
          <w:sz w:val="24"/>
          <w:szCs w:val="24"/>
        </w:rPr>
        <w:t>provided.</w:t>
      </w:r>
    </w:p>
    <w:p w14:paraId="6E7CF058" w14:textId="4F3D3DDD" w:rsidR="00101A24" w:rsidRPr="004F2656" w:rsidRDefault="00101A24" w:rsidP="003F4D85">
      <w:pPr>
        <w:pStyle w:val="Heading1"/>
        <w:numPr>
          <w:ilvl w:val="0"/>
          <w:numId w:val="18"/>
        </w:numPr>
        <w:ind w:left="360"/>
      </w:pPr>
      <w:r w:rsidRPr="004F2656">
        <w:t>Quotes</w:t>
      </w:r>
    </w:p>
    <w:p w14:paraId="31515BEF" w14:textId="0B3513AA" w:rsidR="00FD27A3" w:rsidRPr="00FD27A3" w:rsidRDefault="00FD27A3" w:rsidP="00FD27A3">
      <w:pPr>
        <w:spacing w:after="0" w:line="240" w:lineRule="auto"/>
        <w:rPr>
          <w:rFonts w:ascii="Calibri" w:eastAsia="Times New Roman" w:hAnsi="Calibri" w:cs="Calibri"/>
          <w:color w:val="000000"/>
        </w:rPr>
      </w:pPr>
      <w:r w:rsidRPr="00FD27A3">
        <w:rPr>
          <w:rFonts w:ascii="Calibri" w:eastAsia="Times New Roman" w:hAnsi="Calibri" w:cs="Calibri"/>
          <w:color w:val="000000"/>
        </w:rPr>
        <w:t>How could the recitation worksheets be improved?</w:t>
      </w:r>
      <w:r>
        <w:rPr>
          <w:rFonts w:ascii="Calibri" w:eastAsia="Times New Roman" w:hAnsi="Calibri" w:cs="Calibri"/>
          <w:color w:val="000000"/>
        </w:rPr>
        <w:t xml:space="preserve"> (From the end of semester surveys)</w:t>
      </w:r>
    </w:p>
    <w:p w14:paraId="6C76C7CA" w14:textId="77777777" w:rsidR="00B30624" w:rsidRDefault="00B30624" w:rsidP="00CB51F3">
      <w:pPr>
        <w:pStyle w:val="NoSpacing"/>
      </w:pPr>
    </w:p>
    <w:p w14:paraId="33C91F67" w14:textId="3E5560FE" w:rsidR="00743238" w:rsidRDefault="00FD27A3" w:rsidP="00B30624">
      <w:pPr>
        <w:pStyle w:val="NoSpacing"/>
        <w:ind w:left="360"/>
      </w:pPr>
      <w:r>
        <w:t>I</w:t>
      </w:r>
      <w:r w:rsidR="00AD4133" w:rsidRPr="00AD4133">
        <w:t xml:space="preserve">t was great already. I liked that there were lots of problems on the worksheets for the week of exams. </w:t>
      </w:r>
      <w:r w:rsidR="00743238">
        <w:t>(CHEM 1212)</w:t>
      </w:r>
    </w:p>
    <w:p w14:paraId="149BDAE1" w14:textId="77777777" w:rsidR="00CB51F3" w:rsidRDefault="00CB51F3" w:rsidP="00CB51F3">
      <w:pPr>
        <w:pStyle w:val="NoSpacing"/>
      </w:pPr>
    </w:p>
    <w:p w14:paraId="4E8E0E5A" w14:textId="4D1E0B14" w:rsidR="00FD27A3" w:rsidRDefault="00FD27A3" w:rsidP="006C5097">
      <w:pPr>
        <w:ind w:firstLine="360"/>
      </w:pPr>
      <w:r w:rsidRPr="00FD27A3">
        <w:t>I think the recitations are the best practice for the tests</w:t>
      </w:r>
      <w:r w:rsidR="006C5097">
        <w:t xml:space="preserve"> (CHEM 1212)</w:t>
      </w:r>
    </w:p>
    <w:p w14:paraId="74085DE8" w14:textId="2A06AF42" w:rsidR="006C5097" w:rsidRDefault="006C5097" w:rsidP="006C5097">
      <w:pPr>
        <w:ind w:firstLine="360"/>
      </w:pPr>
      <w:r w:rsidRPr="006C5097">
        <w:t>I think they</w:t>
      </w:r>
      <w:r w:rsidR="00B25F59">
        <w:t>’</w:t>
      </w:r>
      <w:r w:rsidRPr="006C5097">
        <w:t>re good the way they are.</w:t>
      </w:r>
      <w:r w:rsidR="00B25F59">
        <w:t xml:space="preserve"> CHEM 1211)</w:t>
      </w:r>
    </w:p>
    <w:p w14:paraId="3668E7AA" w14:textId="77777777" w:rsidR="003964D2" w:rsidRDefault="003964D2" w:rsidP="003964D2"/>
    <w:p w14:paraId="5D7E30AB" w14:textId="683AF4BB" w:rsidR="00CB51F3" w:rsidRDefault="003964D2" w:rsidP="003964D2">
      <w:r w:rsidRPr="003964D2">
        <w:t>Did you like having Chemistry Learning Assistants (CLAs) in our class?</w:t>
      </w:r>
      <w:r>
        <w:t xml:space="preserve"> (from the end of the semester surveys)</w:t>
      </w:r>
    </w:p>
    <w:p w14:paraId="38CB977B" w14:textId="2216D2B5" w:rsidR="003964D2" w:rsidRDefault="00262AB1" w:rsidP="003964D2">
      <w:pPr>
        <w:ind w:left="360"/>
      </w:pPr>
      <w:r w:rsidRPr="00262AB1">
        <w:t>The time is too short to be effective. But making the time longer would become very inconvenient. Instead I would like to see time added after the lectures to ask questions. The lecture always feels fast paced and with no time to ask questions.</w:t>
      </w:r>
      <w:r w:rsidR="00091506">
        <w:t xml:space="preserve"> (CHEM 1211)</w:t>
      </w:r>
    </w:p>
    <w:p w14:paraId="609E3B59" w14:textId="19080B1B" w:rsidR="00091506" w:rsidRDefault="00E20D40" w:rsidP="003964D2">
      <w:pPr>
        <w:ind w:left="360"/>
      </w:pPr>
      <w:r w:rsidRPr="00E20D40">
        <w:t>There are not enough of them for the amount of students that are present. Some NOT all CLA</w:t>
      </w:r>
      <w:r w:rsidR="00B85F10">
        <w:t>’</w:t>
      </w:r>
      <w:r w:rsidRPr="00E20D40">
        <w:t>s make you feel stupid for not understanding something or for not knowing the basics which is not appreciated since they are literally there to help US!</w:t>
      </w:r>
      <w:r>
        <w:t xml:space="preserve"> (CHEM 1212)</w:t>
      </w:r>
    </w:p>
    <w:p w14:paraId="127C0663" w14:textId="750049C6" w:rsidR="008863B9" w:rsidRPr="00FD27A3" w:rsidRDefault="008863B9" w:rsidP="003964D2">
      <w:pPr>
        <w:ind w:left="360"/>
      </w:pPr>
      <w:r w:rsidRPr="008863B9">
        <w:t>I preferred learning from the professor and other outside resources.</w:t>
      </w:r>
      <w:r w:rsidR="00033026">
        <w:t xml:space="preserve"> (CHEM 1212)</w:t>
      </w:r>
    </w:p>
    <w:p w14:paraId="2569A2E6" w14:textId="45C67F12" w:rsidR="00B90CC8" w:rsidRPr="00B90CC8" w:rsidRDefault="00F70B70" w:rsidP="003F4D85">
      <w:pPr>
        <w:pStyle w:val="Heading1"/>
        <w:numPr>
          <w:ilvl w:val="0"/>
          <w:numId w:val="18"/>
        </w:numPr>
        <w:ind w:left="360"/>
      </w:pPr>
      <w:r w:rsidRPr="004F2656">
        <w:t>Quantitative and Qualitative Measures</w:t>
      </w:r>
    </w:p>
    <w:p w14:paraId="62F72596" w14:textId="1C61F355" w:rsidR="00B90CC8" w:rsidRDefault="0033401E" w:rsidP="003F4D85">
      <w:pPr>
        <w:pStyle w:val="Heading2"/>
        <w:numPr>
          <w:ilvl w:val="1"/>
          <w:numId w:val="18"/>
        </w:numPr>
        <w:ind w:left="720"/>
      </w:pPr>
      <w:r>
        <w:t xml:space="preserve">Uniform </w:t>
      </w:r>
      <w:r w:rsidR="0073273B">
        <w:t>Measurement</w:t>
      </w:r>
      <w:r>
        <w:t>s Questions</w:t>
      </w:r>
    </w:p>
    <w:p w14:paraId="1F6670A4" w14:textId="5EAA8083" w:rsidR="0073273B" w:rsidRDefault="00C45872" w:rsidP="00C45872">
      <w:pPr>
        <w:ind w:left="720"/>
        <w:rPr>
          <w:b/>
          <w:sz w:val="24"/>
          <w:szCs w:val="24"/>
        </w:rPr>
      </w:pPr>
      <w:r>
        <w:rPr>
          <w:b/>
          <w:sz w:val="24"/>
          <w:szCs w:val="24"/>
        </w:rPr>
        <w:t>Student Opinion of Materials</w:t>
      </w:r>
      <w:r w:rsidR="0073273B" w:rsidRPr="0073273B">
        <w:rPr>
          <w:b/>
          <w:sz w:val="24"/>
          <w:szCs w:val="24"/>
        </w:rPr>
        <w:t xml:space="preserve"> </w:t>
      </w:r>
    </w:p>
    <w:p w14:paraId="7966F777" w14:textId="71DD02F5" w:rsidR="00C45872" w:rsidRDefault="00C45872" w:rsidP="00C45872">
      <w:pPr>
        <w:ind w:left="1080"/>
        <w:rPr>
          <w:b/>
          <w:sz w:val="24"/>
          <w:szCs w:val="24"/>
        </w:rPr>
      </w:pPr>
      <w:r w:rsidRPr="00987DD6">
        <w:rPr>
          <w:b/>
          <w:sz w:val="24"/>
          <w:szCs w:val="24"/>
        </w:rPr>
        <w:t xml:space="preserve">Was the </w:t>
      </w:r>
      <w:r>
        <w:rPr>
          <w:b/>
          <w:sz w:val="24"/>
          <w:szCs w:val="24"/>
        </w:rPr>
        <w:t>overall student opinion about the materials used in the course</w:t>
      </w:r>
      <w:r w:rsidRPr="00987DD6">
        <w:rPr>
          <w:b/>
          <w:sz w:val="24"/>
          <w:szCs w:val="24"/>
        </w:rPr>
        <w:t xml:space="preserve"> </w:t>
      </w:r>
      <w:r>
        <w:rPr>
          <w:b/>
          <w:sz w:val="24"/>
          <w:szCs w:val="24"/>
        </w:rPr>
        <w:t>positive, neutral, or negative?</w:t>
      </w:r>
    </w:p>
    <w:p w14:paraId="46C7606C" w14:textId="1BD98F12" w:rsidR="00422E1E" w:rsidRPr="00422E1E" w:rsidRDefault="00422E1E" w:rsidP="00C45872">
      <w:pPr>
        <w:ind w:left="1080"/>
        <w:rPr>
          <w:sz w:val="24"/>
          <w:szCs w:val="24"/>
        </w:rPr>
      </w:pPr>
      <w:r>
        <w:rPr>
          <w:sz w:val="24"/>
          <w:szCs w:val="24"/>
        </w:rPr>
        <w:lastRenderedPageBreak/>
        <w:t>A survey was given to all CHEM 1211 and 1212 classes after the last test</w:t>
      </w:r>
      <w:r w:rsidR="0086498E">
        <w:rPr>
          <w:sz w:val="24"/>
          <w:szCs w:val="24"/>
        </w:rPr>
        <w:t xml:space="preserve"> asking a wide variety of questions regarding the pedagogy used in both the lecture and lab classes.  </w:t>
      </w:r>
      <w:r w:rsidR="003C2884">
        <w:rPr>
          <w:sz w:val="24"/>
          <w:szCs w:val="24"/>
        </w:rPr>
        <w:t xml:space="preserve">It has been found the students are overwhelmingly positive about the addition of </w:t>
      </w:r>
      <w:r w:rsidR="004A4DC3">
        <w:rPr>
          <w:sz w:val="24"/>
          <w:szCs w:val="24"/>
        </w:rPr>
        <w:t xml:space="preserve">weekly </w:t>
      </w:r>
      <w:r w:rsidR="003C2884">
        <w:rPr>
          <w:sz w:val="24"/>
          <w:szCs w:val="24"/>
        </w:rPr>
        <w:t xml:space="preserve">one-hour recitation sessions attended by </w:t>
      </w:r>
      <w:r w:rsidR="004A4DC3">
        <w:rPr>
          <w:sz w:val="24"/>
          <w:szCs w:val="24"/>
        </w:rPr>
        <w:t>the instructor and Chemistry Learning Assistants (CLAs)</w:t>
      </w:r>
      <w:r w:rsidR="00E75A2B">
        <w:rPr>
          <w:sz w:val="24"/>
          <w:szCs w:val="24"/>
        </w:rPr>
        <w:t xml:space="preserve"> where they work in groups solving questions and problems on challenging worksheets.</w:t>
      </w:r>
    </w:p>
    <w:p w14:paraId="31FF61B6" w14:textId="4D2F9198" w:rsidR="00684A25" w:rsidRPr="00684A25" w:rsidRDefault="00684A25" w:rsidP="00C45872">
      <w:pPr>
        <w:ind w:left="1080"/>
        <w:rPr>
          <w:sz w:val="24"/>
          <w:szCs w:val="24"/>
        </w:rPr>
      </w:pPr>
      <w:r w:rsidRPr="00684A25">
        <w:rPr>
          <w:sz w:val="24"/>
          <w:szCs w:val="24"/>
        </w:rPr>
        <w:t>Total number of students affected</w:t>
      </w:r>
      <w:r>
        <w:rPr>
          <w:sz w:val="24"/>
          <w:szCs w:val="24"/>
        </w:rPr>
        <w:t xml:space="preserve"> in this project</w:t>
      </w:r>
      <w:r w:rsidRPr="00684A25">
        <w:rPr>
          <w:sz w:val="24"/>
          <w:szCs w:val="24"/>
        </w:rPr>
        <w:t xml:space="preserve">: </w:t>
      </w:r>
      <w:r w:rsidR="007D7B1F">
        <w:rPr>
          <w:sz w:val="24"/>
          <w:szCs w:val="24"/>
        </w:rPr>
        <w:t xml:space="preserve"> Approx. </w:t>
      </w:r>
      <w:r w:rsidR="00F72372">
        <w:rPr>
          <w:sz w:val="24"/>
          <w:szCs w:val="24"/>
        </w:rPr>
        <w:t>1500-2000</w:t>
      </w:r>
      <w:r w:rsidR="007D7B1F">
        <w:rPr>
          <w:sz w:val="24"/>
          <w:szCs w:val="24"/>
        </w:rPr>
        <w:t xml:space="preserve"> students per semester</w:t>
      </w:r>
    </w:p>
    <w:p w14:paraId="37FBFE79" w14:textId="1120AEE4" w:rsidR="0073273B" w:rsidRPr="000B5788" w:rsidRDefault="0073273B" w:rsidP="003F4D85">
      <w:pPr>
        <w:pStyle w:val="ListParagraph"/>
        <w:numPr>
          <w:ilvl w:val="0"/>
          <w:numId w:val="14"/>
        </w:numPr>
        <w:ind w:left="1800"/>
        <w:rPr>
          <w:sz w:val="24"/>
          <w:szCs w:val="24"/>
        </w:rPr>
      </w:pPr>
      <w:r w:rsidRPr="001D51FD">
        <w:rPr>
          <w:sz w:val="24"/>
          <w:szCs w:val="24"/>
        </w:rPr>
        <w:t>Positive:</w:t>
      </w:r>
      <w:r w:rsidR="00285B86">
        <w:rPr>
          <w:sz w:val="24"/>
          <w:szCs w:val="24"/>
        </w:rPr>
        <w:tab/>
      </w:r>
      <w:r w:rsidR="000A757A" w:rsidRPr="000B5788">
        <w:rPr>
          <w:sz w:val="24"/>
          <w:szCs w:val="24"/>
        </w:rPr>
        <w:t>&gt;</w:t>
      </w:r>
      <w:r w:rsidR="00461227" w:rsidRPr="000B5788">
        <w:rPr>
          <w:sz w:val="24"/>
          <w:szCs w:val="24"/>
        </w:rPr>
        <w:t>80</w:t>
      </w:r>
      <w:r w:rsidRPr="000B5788">
        <w:rPr>
          <w:sz w:val="24"/>
          <w:szCs w:val="24"/>
        </w:rPr>
        <w:t xml:space="preserve">% of </w:t>
      </w:r>
      <w:r w:rsidR="007062E7" w:rsidRPr="000B5788">
        <w:rPr>
          <w:sz w:val="24"/>
          <w:szCs w:val="24"/>
        </w:rPr>
        <w:t>1400</w:t>
      </w:r>
      <w:r w:rsidRPr="000B5788">
        <w:rPr>
          <w:sz w:val="24"/>
          <w:szCs w:val="24"/>
        </w:rPr>
        <w:t xml:space="preserve"> </w:t>
      </w:r>
      <w:r w:rsidR="001D51FD" w:rsidRPr="000B5788">
        <w:rPr>
          <w:sz w:val="24"/>
          <w:szCs w:val="24"/>
        </w:rPr>
        <w:t xml:space="preserve">number of </w:t>
      </w:r>
      <w:r w:rsidRPr="000B5788">
        <w:rPr>
          <w:sz w:val="24"/>
          <w:szCs w:val="24"/>
        </w:rPr>
        <w:t>respondents</w:t>
      </w:r>
      <w:r w:rsidR="00F72372">
        <w:rPr>
          <w:sz w:val="24"/>
          <w:szCs w:val="24"/>
        </w:rPr>
        <w:t xml:space="preserve"> (data from spring 2023)</w:t>
      </w:r>
    </w:p>
    <w:p w14:paraId="665A9B89" w14:textId="03F849D0" w:rsidR="00684A25" w:rsidRPr="000B5788" w:rsidRDefault="0073273B" w:rsidP="003F4D85">
      <w:pPr>
        <w:pStyle w:val="ListParagraph"/>
        <w:numPr>
          <w:ilvl w:val="0"/>
          <w:numId w:val="14"/>
        </w:numPr>
        <w:ind w:left="1800"/>
        <w:rPr>
          <w:sz w:val="24"/>
          <w:szCs w:val="24"/>
        </w:rPr>
      </w:pPr>
      <w:r w:rsidRPr="000B5788">
        <w:rPr>
          <w:sz w:val="24"/>
          <w:szCs w:val="24"/>
        </w:rPr>
        <w:t>Neutral:</w:t>
      </w:r>
      <w:r w:rsidR="00285B86" w:rsidRPr="000B5788">
        <w:rPr>
          <w:sz w:val="24"/>
          <w:szCs w:val="24"/>
        </w:rPr>
        <w:tab/>
      </w:r>
      <w:r w:rsidR="007062E7" w:rsidRPr="000B5788">
        <w:rPr>
          <w:sz w:val="24"/>
          <w:szCs w:val="24"/>
        </w:rPr>
        <w:t>5%</w:t>
      </w:r>
      <w:r w:rsidR="001D51FD" w:rsidRPr="000B5788">
        <w:rPr>
          <w:sz w:val="24"/>
          <w:szCs w:val="24"/>
        </w:rPr>
        <w:t xml:space="preserve"> of </w:t>
      </w:r>
      <w:r w:rsidR="007062E7" w:rsidRPr="000B5788">
        <w:rPr>
          <w:sz w:val="24"/>
          <w:szCs w:val="24"/>
        </w:rPr>
        <w:t>1400</w:t>
      </w:r>
      <w:r w:rsidR="001D51FD" w:rsidRPr="000B5788">
        <w:rPr>
          <w:sz w:val="24"/>
          <w:szCs w:val="24"/>
        </w:rPr>
        <w:t xml:space="preserve"> number of respondents</w:t>
      </w:r>
    </w:p>
    <w:p w14:paraId="4B4A604B" w14:textId="2DE20F36" w:rsidR="00C45872" w:rsidRPr="00684A25" w:rsidRDefault="0073273B" w:rsidP="003F4D85">
      <w:pPr>
        <w:pStyle w:val="ListParagraph"/>
        <w:numPr>
          <w:ilvl w:val="0"/>
          <w:numId w:val="14"/>
        </w:numPr>
        <w:ind w:left="1800"/>
        <w:rPr>
          <w:sz w:val="24"/>
          <w:szCs w:val="24"/>
        </w:rPr>
      </w:pPr>
      <w:r w:rsidRPr="000B5788">
        <w:rPr>
          <w:sz w:val="24"/>
          <w:szCs w:val="24"/>
        </w:rPr>
        <w:t>Negative</w:t>
      </w:r>
      <w:r w:rsidR="001D51FD" w:rsidRPr="000B5788">
        <w:rPr>
          <w:sz w:val="24"/>
          <w:szCs w:val="24"/>
        </w:rPr>
        <w:t>:</w:t>
      </w:r>
      <w:r w:rsidR="00285B86" w:rsidRPr="000B5788">
        <w:rPr>
          <w:sz w:val="24"/>
          <w:szCs w:val="24"/>
        </w:rPr>
        <w:tab/>
      </w:r>
      <w:r w:rsidR="000B5788" w:rsidRPr="000B5788">
        <w:rPr>
          <w:sz w:val="24"/>
          <w:szCs w:val="24"/>
        </w:rPr>
        <w:t>15%</w:t>
      </w:r>
      <w:r w:rsidR="001D51FD" w:rsidRPr="000B5788">
        <w:rPr>
          <w:sz w:val="24"/>
          <w:szCs w:val="24"/>
        </w:rPr>
        <w:t xml:space="preserve"> of </w:t>
      </w:r>
      <w:r w:rsidR="000B5788" w:rsidRPr="000B5788">
        <w:rPr>
          <w:sz w:val="24"/>
          <w:szCs w:val="24"/>
        </w:rPr>
        <w:t>1400</w:t>
      </w:r>
      <w:r w:rsidR="001D51FD" w:rsidRPr="000B5788">
        <w:rPr>
          <w:sz w:val="24"/>
          <w:szCs w:val="24"/>
        </w:rPr>
        <w:t xml:space="preserve"> number</w:t>
      </w:r>
      <w:r w:rsidR="001D51FD" w:rsidRPr="00684A25">
        <w:rPr>
          <w:sz w:val="24"/>
          <w:szCs w:val="24"/>
        </w:rPr>
        <w:t xml:space="preserve"> of respondents</w:t>
      </w:r>
    </w:p>
    <w:p w14:paraId="7F5D0BB0" w14:textId="77777777" w:rsidR="001D51FD" w:rsidRDefault="001D51FD" w:rsidP="00C45872">
      <w:pPr>
        <w:ind w:left="720"/>
        <w:rPr>
          <w:b/>
          <w:sz w:val="24"/>
          <w:szCs w:val="24"/>
        </w:rPr>
      </w:pPr>
      <w:r>
        <w:rPr>
          <w:b/>
          <w:sz w:val="24"/>
          <w:szCs w:val="24"/>
        </w:rPr>
        <w:t>Student Learning Outcomes and Grades</w:t>
      </w:r>
    </w:p>
    <w:p w14:paraId="2FF8566C" w14:textId="77777777" w:rsidR="003F4D85" w:rsidRDefault="00987DD6" w:rsidP="003F4D85">
      <w:pPr>
        <w:ind w:left="1080"/>
        <w:rPr>
          <w:b/>
          <w:sz w:val="24"/>
          <w:szCs w:val="24"/>
        </w:rPr>
      </w:pPr>
      <w:r w:rsidRPr="00987DD6">
        <w:rPr>
          <w:b/>
          <w:sz w:val="24"/>
          <w:szCs w:val="24"/>
        </w:rPr>
        <w:t xml:space="preserve">Was the </w:t>
      </w:r>
      <w:r w:rsidR="001D51FD">
        <w:rPr>
          <w:b/>
          <w:sz w:val="24"/>
          <w:szCs w:val="24"/>
        </w:rPr>
        <w:t xml:space="preserve">overall comparative impact on </w:t>
      </w:r>
      <w:r w:rsidRPr="00987DD6">
        <w:rPr>
          <w:b/>
          <w:sz w:val="24"/>
          <w:szCs w:val="24"/>
        </w:rPr>
        <w:t>student performance in terms of learning outcomes and grades in the semester</w:t>
      </w:r>
      <w:r w:rsidR="001D51FD">
        <w:rPr>
          <w:b/>
          <w:sz w:val="24"/>
          <w:szCs w:val="24"/>
        </w:rPr>
        <w:t>(s)</w:t>
      </w:r>
      <w:r w:rsidRPr="00987DD6">
        <w:rPr>
          <w:b/>
          <w:sz w:val="24"/>
          <w:szCs w:val="24"/>
        </w:rPr>
        <w:t xml:space="preserve"> of implementation </w:t>
      </w:r>
      <w:r w:rsidR="001D51FD">
        <w:rPr>
          <w:b/>
          <w:sz w:val="24"/>
          <w:szCs w:val="24"/>
        </w:rPr>
        <w:t>over previous semesters positive, neutral, or negative?</w:t>
      </w:r>
    </w:p>
    <w:p w14:paraId="6EEFE6A7" w14:textId="456652CF" w:rsidR="001E0EE3" w:rsidRPr="003F4D85" w:rsidRDefault="001E0EE3" w:rsidP="003F4D85">
      <w:pPr>
        <w:ind w:left="1080"/>
        <w:rPr>
          <w:b/>
          <w:sz w:val="24"/>
          <w:szCs w:val="24"/>
        </w:rPr>
      </w:pPr>
      <w:r w:rsidRPr="003F4D85">
        <w:rPr>
          <w:i/>
          <w:sz w:val="24"/>
          <w:szCs w:val="24"/>
        </w:rPr>
        <w:t xml:space="preserve">Student outcomes should be described in detail in Section 3b. </w:t>
      </w:r>
      <w:r w:rsidR="00071B22" w:rsidRPr="003F4D85">
        <w:rPr>
          <w:sz w:val="24"/>
          <w:szCs w:val="24"/>
        </w:rPr>
        <w:t xml:space="preserve">      </w:t>
      </w:r>
    </w:p>
    <w:p w14:paraId="77014C4E" w14:textId="1D8CA515" w:rsidR="00071B22" w:rsidRPr="00347316" w:rsidRDefault="00071B22" w:rsidP="003F4D85">
      <w:pPr>
        <w:pStyle w:val="ListParagraph"/>
        <w:ind w:left="1080"/>
        <w:rPr>
          <w:b/>
          <w:sz w:val="24"/>
          <w:szCs w:val="24"/>
        </w:rPr>
      </w:pPr>
      <w:r w:rsidRPr="00071B22">
        <w:rPr>
          <w:sz w:val="24"/>
          <w:szCs w:val="24"/>
        </w:rPr>
        <w:t xml:space="preserve">Choose One:  </w:t>
      </w:r>
      <w:r w:rsidR="00784A18" w:rsidRPr="00347316">
        <w:rPr>
          <w:b/>
          <w:sz w:val="24"/>
          <w:szCs w:val="24"/>
        </w:rPr>
        <w:t>CHEM 1211</w:t>
      </w:r>
    </w:p>
    <w:p w14:paraId="07D93CF5" w14:textId="37511DFB" w:rsidR="00071B22" w:rsidRPr="00071B22" w:rsidRDefault="00071B22" w:rsidP="003F4D85">
      <w:pPr>
        <w:pStyle w:val="ListParagraph"/>
        <w:numPr>
          <w:ilvl w:val="0"/>
          <w:numId w:val="16"/>
        </w:numPr>
        <w:ind w:left="1800"/>
        <w:rPr>
          <w:sz w:val="24"/>
          <w:szCs w:val="24"/>
        </w:rPr>
      </w:pPr>
      <w:r>
        <w:rPr>
          <w:sz w:val="24"/>
          <w:szCs w:val="24"/>
        </w:rPr>
        <w:t>_</w:t>
      </w:r>
      <w:r w:rsidR="00382676">
        <w:rPr>
          <w:sz w:val="24"/>
          <w:szCs w:val="24"/>
          <w:u w:val="single"/>
        </w:rPr>
        <w:sym w:font="Wingdings" w:char="F0FC"/>
      </w:r>
      <w:r>
        <w:rPr>
          <w:sz w:val="24"/>
          <w:szCs w:val="24"/>
        </w:rPr>
        <w:t>__</w:t>
      </w:r>
      <w:r w:rsidR="003F4D85">
        <w:rPr>
          <w:sz w:val="24"/>
          <w:szCs w:val="24"/>
        </w:rPr>
        <w:t xml:space="preserve"> </w:t>
      </w:r>
      <w:r>
        <w:rPr>
          <w:sz w:val="24"/>
          <w:szCs w:val="24"/>
        </w:rPr>
        <w:t xml:space="preserve">Positive: Higher performance outcomes measured over </w:t>
      </w:r>
      <w:r w:rsidRPr="00071B22">
        <w:rPr>
          <w:sz w:val="24"/>
          <w:szCs w:val="24"/>
        </w:rPr>
        <w:t>previous semester(s)</w:t>
      </w:r>
    </w:p>
    <w:p w14:paraId="340436C8" w14:textId="14055F55" w:rsidR="00071B22" w:rsidRPr="00071B22" w:rsidRDefault="00071B22" w:rsidP="003F4D85">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21614FEB" w14:textId="0DFA1513" w:rsidR="00C45872" w:rsidRDefault="00071B22" w:rsidP="003F4D85">
      <w:pPr>
        <w:pStyle w:val="ListParagraph"/>
        <w:numPr>
          <w:ilvl w:val="0"/>
          <w:numId w:val="16"/>
        </w:numPr>
        <w:ind w:left="1800"/>
        <w:rPr>
          <w:sz w:val="24"/>
          <w:szCs w:val="24"/>
        </w:rPr>
      </w:pPr>
      <w:r w:rsidRPr="00071B22">
        <w:rPr>
          <w:sz w:val="24"/>
          <w:szCs w:val="24"/>
        </w:rPr>
        <w:t>___</w:t>
      </w:r>
      <w:r w:rsidR="003F4D85">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4E07329F" w14:textId="77777777" w:rsidR="00AB1188" w:rsidRDefault="00AB1188" w:rsidP="00AB1188">
      <w:pPr>
        <w:pStyle w:val="ListParagraph"/>
        <w:ind w:left="1800"/>
        <w:rPr>
          <w:sz w:val="24"/>
          <w:szCs w:val="24"/>
        </w:rPr>
      </w:pPr>
    </w:p>
    <w:p w14:paraId="369D2E1F" w14:textId="4D97BF61" w:rsidR="00AB1188" w:rsidRPr="00071B22" w:rsidRDefault="00AB1188" w:rsidP="00AB1188">
      <w:pPr>
        <w:pStyle w:val="ListParagraph"/>
        <w:ind w:left="1080"/>
        <w:rPr>
          <w:sz w:val="24"/>
          <w:szCs w:val="24"/>
        </w:rPr>
      </w:pPr>
      <w:r w:rsidRPr="00071B22">
        <w:rPr>
          <w:sz w:val="24"/>
          <w:szCs w:val="24"/>
        </w:rPr>
        <w:t xml:space="preserve">Choose One:  </w:t>
      </w:r>
      <w:r w:rsidRPr="00D5468A">
        <w:rPr>
          <w:b/>
          <w:sz w:val="24"/>
          <w:szCs w:val="24"/>
        </w:rPr>
        <w:t>CHEM 121</w:t>
      </w:r>
      <w:r w:rsidRPr="00D5468A">
        <w:rPr>
          <w:b/>
          <w:sz w:val="24"/>
          <w:szCs w:val="24"/>
        </w:rPr>
        <w:t>2</w:t>
      </w:r>
    </w:p>
    <w:p w14:paraId="46FF2943" w14:textId="48278D04" w:rsidR="00AB1188" w:rsidRPr="00071B22" w:rsidRDefault="00AB1188" w:rsidP="00AB1188">
      <w:pPr>
        <w:pStyle w:val="ListParagraph"/>
        <w:numPr>
          <w:ilvl w:val="0"/>
          <w:numId w:val="16"/>
        </w:numPr>
        <w:ind w:left="1800"/>
        <w:rPr>
          <w:sz w:val="24"/>
          <w:szCs w:val="24"/>
        </w:rPr>
      </w:pPr>
      <w:r>
        <w:rPr>
          <w:sz w:val="24"/>
          <w:szCs w:val="24"/>
        </w:rPr>
        <w:t>_</w:t>
      </w:r>
      <w:r w:rsidR="00497413">
        <w:rPr>
          <w:sz w:val="24"/>
          <w:szCs w:val="24"/>
          <w:u w:val="single"/>
        </w:rPr>
        <w:sym w:font="Wingdings" w:char="F0FC"/>
      </w:r>
      <w:r>
        <w:rPr>
          <w:sz w:val="24"/>
          <w:szCs w:val="24"/>
        </w:rPr>
        <w:t xml:space="preserve">__ Positive: Higher performance outcomes measured over </w:t>
      </w:r>
      <w:r w:rsidRPr="00071B22">
        <w:rPr>
          <w:sz w:val="24"/>
          <w:szCs w:val="24"/>
        </w:rPr>
        <w:t>previous semester(s)</w:t>
      </w:r>
    </w:p>
    <w:p w14:paraId="45DECC8D" w14:textId="77777777" w:rsidR="00AB1188" w:rsidRPr="00071B22" w:rsidRDefault="00AB1188" w:rsidP="00AB1188">
      <w:pPr>
        <w:pStyle w:val="ListParagraph"/>
        <w:numPr>
          <w:ilvl w:val="0"/>
          <w:numId w:val="16"/>
        </w:numPr>
        <w:ind w:left="1800"/>
        <w:rPr>
          <w:sz w:val="24"/>
          <w:szCs w:val="24"/>
        </w:rPr>
      </w:pPr>
      <w:r>
        <w:rPr>
          <w:sz w:val="24"/>
          <w:szCs w:val="24"/>
        </w:rPr>
        <w:t>___ Neutral: S</w:t>
      </w:r>
      <w:r w:rsidRPr="00071B22">
        <w:rPr>
          <w:sz w:val="24"/>
          <w:szCs w:val="24"/>
        </w:rPr>
        <w:t xml:space="preserve">ame </w:t>
      </w:r>
      <w:r>
        <w:rPr>
          <w:sz w:val="24"/>
          <w:szCs w:val="24"/>
        </w:rPr>
        <w:t>performance outcomes over previous semester(s)</w:t>
      </w:r>
    </w:p>
    <w:p w14:paraId="0F5A1591" w14:textId="77777777" w:rsidR="00AB1188" w:rsidRPr="00C45872" w:rsidRDefault="00AB1188" w:rsidP="00AB1188">
      <w:pPr>
        <w:pStyle w:val="ListParagraph"/>
        <w:numPr>
          <w:ilvl w:val="0"/>
          <w:numId w:val="16"/>
        </w:numPr>
        <w:ind w:left="1800"/>
        <w:rPr>
          <w:sz w:val="24"/>
          <w:szCs w:val="24"/>
        </w:rPr>
      </w:pPr>
      <w:r w:rsidRPr="00071B22">
        <w:rPr>
          <w:sz w:val="24"/>
          <w:szCs w:val="24"/>
        </w:rPr>
        <w:t>___</w:t>
      </w:r>
      <w:r>
        <w:rPr>
          <w:sz w:val="24"/>
          <w:szCs w:val="24"/>
        </w:rPr>
        <w:t xml:space="preserve"> </w:t>
      </w:r>
      <w:r w:rsidRPr="00071B22">
        <w:rPr>
          <w:sz w:val="24"/>
          <w:szCs w:val="24"/>
        </w:rPr>
        <w:t xml:space="preserve">Negative: </w:t>
      </w:r>
      <w:r>
        <w:rPr>
          <w:sz w:val="24"/>
          <w:szCs w:val="24"/>
        </w:rPr>
        <w:t>Lower performance outcomes over previous semester(s)</w:t>
      </w:r>
      <w:r w:rsidRPr="00071B22">
        <w:rPr>
          <w:sz w:val="24"/>
          <w:szCs w:val="24"/>
        </w:rPr>
        <w:t xml:space="preserve"> </w:t>
      </w:r>
    </w:p>
    <w:p w14:paraId="6B7055C3" w14:textId="77777777" w:rsidR="00AB1188" w:rsidRPr="00AB1188" w:rsidRDefault="00AB1188" w:rsidP="00AB1188">
      <w:pPr>
        <w:ind w:left="1440"/>
        <w:rPr>
          <w:sz w:val="24"/>
          <w:szCs w:val="24"/>
        </w:rPr>
      </w:pPr>
    </w:p>
    <w:p w14:paraId="0DA9B466" w14:textId="5AE28CF8" w:rsidR="00C45872" w:rsidRDefault="00C45872" w:rsidP="00C45872">
      <w:pPr>
        <w:ind w:left="720"/>
        <w:rPr>
          <w:b/>
          <w:sz w:val="24"/>
          <w:szCs w:val="24"/>
        </w:rPr>
      </w:pPr>
      <w:r>
        <w:rPr>
          <w:b/>
          <w:sz w:val="24"/>
          <w:szCs w:val="24"/>
        </w:rPr>
        <w:t>Student Drop/Fail/Withdraw (DFW) R</w:t>
      </w:r>
      <w:r w:rsidRPr="0073273B">
        <w:rPr>
          <w:b/>
          <w:sz w:val="24"/>
          <w:szCs w:val="24"/>
        </w:rPr>
        <w:t>ates</w:t>
      </w:r>
      <w:r w:rsidR="008C0AED">
        <w:rPr>
          <w:b/>
          <w:sz w:val="24"/>
          <w:szCs w:val="24"/>
        </w:rPr>
        <w:t xml:space="preserve">:  </w:t>
      </w:r>
      <w:r w:rsidR="008C0AED" w:rsidRPr="00D5468A">
        <w:rPr>
          <w:b/>
          <w:sz w:val="24"/>
          <w:szCs w:val="24"/>
        </w:rPr>
        <w:t>CHEM 1211</w:t>
      </w:r>
    </w:p>
    <w:p w14:paraId="7BE6E737" w14:textId="599D7CAC" w:rsidR="001D51FD" w:rsidRDefault="001D51FD" w:rsidP="00C45872">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42D814CB" w14:textId="666D2BD5" w:rsidR="001E0EE3" w:rsidRPr="001E0EE3" w:rsidRDefault="005C2F44" w:rsidP="003F4D85">
      <w:pPr>
        <w:ind w:left="1080"/>
        <w:rPr>
          <w:sz w:val="24"/>
          <w:szCs w:val="24"/>
        </w:rPr>
      </w:pPr>
      <w:r w:rsidRPr="005C2F44">
        <w:rPr>
          <w:sz w:val="24"/>
          <w:szCs w:val="24"/>
        </w:rPr>
        <w:t>9.5</w:t>
      </w:r>
      <w:r w:rsidR="001E0EE3" w:rsidRPr="005C2F44">
        <w:rPr>
          <w:sz w:val="24"/>
          <w:szCs w:val="24"/>
        </w:rPr>
        <w:t>%</w:t>
      </w:r>
      <w:r w:rsidR="001E0EE3" w:rsidRPr="001E0EE3">
        <w:rPr>
          <w:sz w:val="24"/>
          <w:szCs w:val="24"/>
        </w:rPr>
        <w:t xml:space="preserve"> of students, out of a total </w:t>
      </w:r>
      <w:r>
        <w:rPr>
          <w:sz w:val="24"/>
          <w:szCs w:val="24"/>
        </w:rPr>
        <w:t>970</w:t>
      </w:r>
      <w:r w:rsidR="001E0EE3" w:rsidRPr="001E0EE3">
        <w:rPr>
          <w:sz w:val="24"/>
          <w:szCs w:val="24"/>
        </w:rPr>
        <w:t xml:space="preserve"> students affected, </w:t>
      </w:r>
      <w:r w:rsidR="003F4D85">
        <w:rPr>
          <w:sz w:val="24"/>
          <w:szCs w:val="24"/>
        </w:rPr>
        <w:t>d</w:t>
      </w:r>
      <w:r w:rsidR="001E0EE3" w:rsidRPr="001E0EE3">
        <w:rPr>
          <w:sz w:val="24"/>
          <w:szCs w:val="24"/>
        </w:rPr>
        <w:t xml:space="preserve">ropped/failed/withdrew from </w:t>
      </w:r>
      <w:r w:rsidR="00C239FF">
        <w:rPr>
          <w:sz w:val="24"/>
          <w:szCs w:val="24"/>
        </w:rPr>
        <w:t>General Chemistry I (</w:t>
      </w:r>
      <w:r>
        <w:rPr>
          <w:sz w:val="24"/>
          <w:szCs w:val="24"/>
        </w:rPr>
        <w:t>CHEM 1211</w:t>
      </w:r>
      <w:r w:rsidR="00C239FF">
        <w:rPr>
          <w:sz w:val="24"/>
          <w:szCs w:val="24"/>
        </w:rPr>
        <w:t>)</w:t>
      </w:r>
      <w:r w:rsidR="001E0EE3" w:rsidRPr="001E0EE3">
        <w:rPr>
          <w:sz w:val="24"/>
          <w:szCs w:val="24"/>
        </w:rPr>
        <w:t xml:space="preserve"> in the final semester of implementation. </w:t>
      </w:r>
    </w:p>
    <w:p w14:paraId="151B024A" w14:textId="77777777" w:rsidR="00071B22" w:rsidRPr="00071B22" w:rsidRDefault="00071B22" w:rsidP="003F4D85">
      <w:pPr>
        <w:ind w:left="1080"/>
        <w:rPr>
          <w:sz w:val="24"/>
          <w:szCs w:val="24"/>
        </w:rPr>
      </w:pPr>
      <w:r w:rsidRPr="00071B22">
        <w:rPr>
          <w:sz w:val="24"/>
          <w:szCs w:val="24"/>
        </w:rPr>
        <w:t xml:space="preserve">Choose One:  </w:t>
      </w:r>
    </w:p>
    <w:p w14:paraId="483393F2" w14:textId="05377EE5" w:rsidR="00071B22" w:rsidRPr="00071B22" w:rsidRDefault="001E0EE3" w:rsidP="003F4D85">
      <w:pPr>
        <w:pStyle w:val="ListParagraph"/>
        <w:numPr>
          <w:ilvl w:val="0"/>
          <w:numId w:val="15"/>
        </w:numPr>
        <w:ind w:left="1800"/>
        <w:rPr>
          <w:sz w:val="24"/>
          <w:szCs w:val="24"/>
        </w:rPr>
      </w:pPr>
      <w:r>
        <w:rPr>
          <w:sz w:val="24"/>
          <w:szCs w:val="24"/>
        </w:rPr>
        <w:lastRenderedPageBreak/>
        <w:t>_</w:t>
      </w:r>
      <w:r w:rsidR="00C239FF">
        <w:rPr>
          <w:sz w:val="24"/>
          <w:szCs w:val="24"/>
          <w:u w:val="single"/>
        </w:rPr>
        <w:sym w:font="Wingdings" w:char="F0FC"/>
      </w:r>
      <w:r>
        <w:rPr>
          <w:sz w:val="24"/>
          <w:szCs w:val="24"/>
        </w:rPr>
        <w:t>__</w:t>
      </w:r>
      <w:r w:rsidR="003F4D85">
        <w:rPr>
          <w:sz w:val="24"/>
          <w:szCs w:val="24"/>
        </w:rPr>
        <w:t xml:space="preserve"> </w:t>
      </w:r>
      <w:r w:rsidR="00071B22" w:rsidRPr="00071B22">
        <w:rPr>
          <w:sz w:val="24"/>
          <w:szCs w:val="24"/>
        </w:rPr>
        <w:t xml:space="preserve">Positive: </w:t>
      </w:r>
      <w:r>
        <w:rPr>
          <w:sz w:val="24"/>
          <w:szCs w:val="24"/>
        </w:rPr>
        <w:t>This is a lower percentage</w:t>
      </w:r>
      <w:r w:rsidR="00071B22">
        <w:rPr>
          <w:sz w:val="24"/>
          <w:szCs w:val="24"/>
        </w:rPr>
        <w:t xml:space="preserve"> of</w:t>
      </w:r>
      <w:r w:rsidR="00071B22" w:rsidRPr="00071B22">
        <w:rPr>
          <w:sz w:val="24"/>
          <w:szCs w:val="24"/>
        </w:rPr>
        <w:t xml:space="preserve"> students with </w:t>
      </w:r>
      <w:r w:rsidR="00071B22">
        <w:rPr>
          <w:sz w:val="24"/>
          <w:szCs w:val="24"/>
        </w:rPr>
        <w:t>D/F/W than previous semester(s)</w:t>
      </w:r>
    </w:p>
    <w:p w14:paraId="7DBF7431" w14:textId="67DF9A4E" w:rsidR="00071B22" w:rsidRPr="00071B22" w:rsidRDefault="00071B22" w:rsidP="003F4D85">
      <w:pPr>
        <w:pStyle w:val="ListParagraph"/>
        <w:numPr>
          <w:ilvl w:val="0"/>
          <w:numId w:val="15"/>
        </w:numPr>
        <w:ind w:left="1800"/>
        <w:rPr>
          <w:sz w:val="24"/>
          <w:szCs w:val="24"/>
        </w:rPr>
      </w:pPr>
      <w:r>
        <w:rPr>
          <w:sz w:val="24"/>
          <w:szCs w:val="24"/>
        </w:rPr>
        <w:t xml:space="preserve">___ Neutral: </w:t>
      </w:r>
      <w:r w:rsidR="001E0EE3">
        <w:rPr>
          <w:sz w:val="24"/>
          <w:szCs w:val="24"/>
        </w:rPr>
        <w:t>This is the s</w:t>
      </w:r>
      <w:r w:rsidRPr="00071B22">
        <w:rPr>
          <w:sz w:val="24"/>
          <w:szCs w:val="24"/>
        </w:rPr>
        <w:t xml:space="preserve">ame </w:t>
      </w:r>
      <w:r w:rsidR="001E0EE3">
        <w:rPr>
          <w:sz w:val="24"/>
          <w:szCs w:val="24"/>
        </w:rPr>
        <w:t>percentage</w:t>
      </w:r>
      <w:r w:rsidRPr="00071B22">
        <w:rPr>
          <w:sz w:val="24"/>
          <w:szCs w:val="24"/>
        </w:rPr>
        <w:t xml:space="preserve"> of students with D/F/W than previous semester(s)</w:t>
      </w:r>
    </w:p>
    <w:p w14:paraId="6B76307D" w14:textId="5A6431C7" w:rsidR="00C45872" w:rsidRPr="008C0AED" w:rsidRDefault="00071B22" w:rsidP="003F4D85">
      <w:pPr>
        <w:pStyle w:val="ListParagraph"/>
        <w:numPr>
          <w:ilvl w:val="0"/>
          <w:numId w:val="15"/>
        </w:numPr>
        <w:ind w:left="1800"/>
        <w:rPr>
          <w:b/>
          <w:sz w:val="24"/>
          <w:szCs w:val="24"/>
        </w:rPr>
      </w:pPr>
      <w:r w:rsidRPr="00071B22">
        <w:rPr>
          <w:sz w:val="24"/>
          <w:szCs w:val="24"/>
        </w:rPr>
        <w:t xml:space="preserve">___ Negative: </w:t>
      </w:r>
      <w:r w:rsidR="001E0EE3">
        <w:rPr>
          <w:sz w:val="24"/>
          <w:szCs w:val="24"/>
        </w:rPr>
        <w:t>This is a hig</w:t>
      </w:r>
      <w:r w:rsidRPr="00071B22">
        <w:rPr>
          <w:sz w:val="24"/>
          <w:szCs w:val="24"/>
        </w:rPr>
        <w:t xml:space="preserve">her </w:t>
      </w:r>
      <w:r w:rsidR="001E0EE3">
        <w:rPr>
          <w:sz w:val="24"/>
          <w:szCs w:val="24"/>
        </w:rPr>
        <w:t>percentage</w:t>
      </w:r>
      <w:r w:rsidRPr="00071B22">
        <w:rPr>
          <w:sz w:val="24"/>
          <w:szCs w:val="24"/>
        </w:rPr>
        <w:t xml:space="preserve"> of students with </w:t>
      </w:r>
      <w:r>
        <w:rPr>
          <w:sz w:val="24"/>
          <w:szCs w:val="24"/>
        </w:rPr>
        <w:t>D/F/W than previous semester(s)</w:t>
      </w:r>
    </w:p>
    <w:p w14:paraId="50D67DA1" w14:textId="4F9E5743" w:rsidR="008C0AED" w:rsidRDefault="008C0AED" w:rsidP="008C0AED">
      <w:pPr>
        <w:pStyle w:val="ListParagraph"/>
        <w:ind w:left="1800"/>
        <w:rPr>
          <w:b/>
          <w:sz w:val="24"/>
          <w:szCs w:val="24"/>
        </w:rPr>
      </w:pPr>
    </w:p>
    <w:p w14:paraId="2DE8F56E" w14:textId="3B3E4DF0" w:rsidR="008C0AED" w:rsidRPr="008C0AED" w:rsidRDefault="008C0AED" w:rsidP="008C0AED">
      <w:pPr>
        <w:ind w:left="720"/>
        <w:rPr>
          <w:sz w:val="24"/>
          <w:szCs w:val="24"/>
        </w:rPr>
      </w:pPr>
      <w:r>
        <w:rPr>
          <w:b/>
          <w:sz w:val="24"/>
          <w:szCs w:val="24"/>
        </w:rPr>
        <w:t>Student Drop/Fail/Withdraw (DFW) R</w:t>
      </w:r>
      <w:r w:rsidRPr="0073273B">
        <w:rPr>
          <w:b/>
          <w:sz w:val="24"/>
          <w:szCs w:val="24"/>
        </w:rPr>
        <w:t>ates</w:t>
      </w:r>
      <w:r w:rsidR="00B85F10">
        <w:rPr>
          <w:b/>
          <w:sz w:val="24"/>
          <w:szCs w:val="24"/>
        </w:rPr>
        <w:t>:</w:t>
      </w:r>
      <w:r>
        <w:rPr>
          <w:b/>
          <w:sz w:val="24"/>
          <w:szCs w:val="24"/>
        </w:rPr>
        <w:t xml:space="preserve"> </w:t>
      </w:r>
      <w:r w:rsidRPr="00D5468A">
        <w:rPr>
          <w:b/>
          <w:sz w:val="24"/>
          <w:szCs w:val="24"/>
        </w:rPr>
        <w:t>CHEM 1212</w:t>
      </w:r>
    </w:p>
    <w:p w14:paraId="5D1C5B98" w14:textId="77777777" w:rsidR="008C0AED" w:rsidRDefault="008C0AED" w:rsidP="008C0AED">
      <w:pPr>
        <w:ind w:left="1080"/>
        <w:rPr>
          <w:b/>
          <w:sz w:val="24"/>
          <w:szCs w:val="24"/>
        </w:rPr>
      </w:pPr>
      <w:r w:rsidRPr="00987DD6">
        <w:rPr>
          <w:b/>
          <w:sz w:val="24"/>
          <w:szCs w:val="24"/>
        </w:rPr>
        <w:t xml:space="preserve">Was the </w:t>
      </w:r>
      <w:r>
        <w:rPr>
          <w:b/>
          <w:sz w:val="24"/>
          <w:szCs w:val="24"/>
        </w:rPr>
        <w:t xml:space="preserve">overall comparative impact on </w:t>
      </w:r>
      <w:r w:rsidRPr="0073273B">
        <w:rPr>
          <w:b/>
          <w:sz w:val="24"/>
          <w:szCs w:val="24"/>
        </w:rPr>
        <w:t>Drop/Fail/Withdraw (DFW) rates</w:t>
      </w:r>
      <w:r w:rsidRPr="00987DD6">
        <w:rPr>
          <w:b/>
          <w:sz w:val="24"/>
          <w:szCs w:val="24"/>
        </w:rPr>
        <w:t xml:space="preserve"> in the semester</w:t>
      </w:r>
      <w:r>
        <w:rPr>
          <w:b/>
          <w:sz w:val="24"/>
          <w:szCs w:val="24"/>
        </w:rPr>
        <w:t>(s)</w:t>
      </w:r>
      <w:r w:rsidRPr="00987DD6">
        <w:rPr>
          <w:b/>
          <w:sz w:val="24"/>
          <w:szCs w:val="24"/>
        </w:rPr>
        <w:t xml:space="preserve"> of implementation </w:t>
      </w:r>
      <w:r>
        <w:rPr>
          <w:b/>
          <w:sz w:val="24"/>
          <w:szCs w:val="24"/>
        </w:rPr>
        <w:t>over previous semesters positive, neutral, or negative?</w:t>
      </w:r>
    </w:p>
    <w:p w14:paraId="32B785D6" w14:textId="6F65CF0F" w:rsidR="008C0AED" w:rsidRPr="001E0EE3" w:rsidRDefault="00D43D7A" w:rsidP="008C0AED">
      <w:pPr>
        <w:ind w:left="1080"/>
        <w:rPr>
          <w:sz w:val="24"/>
          <w:szCs w:val="24"/>
        </w:rPr>
      </w:pPr>
      <w:r>
        <w:rPr>
          <w:sz w:val="24"/>
          <w:szCs w:val="24"/>
        </w:rPr>
        <w:t>4.7</w:t>
      </w:r>
      <w:r w:rsidR="008C0AED" w:rsidRPr="001E0EE3">
        <w:rPr>
          <w:sz w:val="24"/>
          <w:szCs w:val="24"/>
        </w:rPr>
        <w:t xml:space="preserve">% of students, out of a total </w:t>
      </w:r>
      <w:r w:rsidR="006043CB">
        <w:rPr>
          <w:sz w:val="24"/>
          <w:szCs w:val="24"/>
        </w:rPr>
        <w:t>578</w:t>
      </w:r>
      <w:r w:rsidR="008C0AED" w:rsidRPr="001E0EE3">
        <w:rPr>
          <w:sz w:val="24"/>
          <w:szCs w:val="24"/>
        </w:rPr>
        <w:t xml:space="preserve"> students affected, </w:t>
      </w:r>
      <w:r w:rsidR="008C0AED">
        <w:rPr>
          <w:sz w:val="24"/>
          <w:szCs w:val="24"/>
        </w:rPr>
        <w:t>d</w:t>
      </w:r>
      <w:r w:rsidR="008C0AED" w:rsidRPr="001E0EE3">
        <w:rPr>
          <w:sz w:val="24"/>
          <w:szCs w:val="24"/>
        </w:rPr>
        <w:t xml:space="preserve">ropped/failed/withdrew from the course in the final semester of implementation. </w:t>
      </w:r>
    </w:p>
    <w:p w14:paraId="45962295" w14:textId="77777777" w:rsidR="008C0AED" w:rsidRPr="00071B22" w:rsidRDefault="008C0AED" w:rsidP="008C0AED">
      <w:pPr>
        <w:ind w:left="1080"/>
        <w:rPr>
          <w:sz w:val="24"/>
          <w:szCs w:val="24"/>
        </w:rPr>
      </w:pPr>
      <w:r w:rsidRPr="00071B22">
        <w:rPr>
          <w:sz w:val="24"/>
          <w:szCs w:val="24"/>
        </w:rPr>
        <w:t xml:space="preserve">Choose One:  </w:t>
      </w:r>
    </w:p>
    <w:p w14:paraId="2BB97EAE" w14:textId="2FC56EFB" w:rsidR="008C0AED" w:rsidRPr="00071B22" w:rsidRDefault="008C0AED" w:rsidP="008C0AED">
      <w:pPr>
        <w:pStyle w:val="ListParagraph"/>
        <w:numPr>
          <w:ilvl w:val="0"/>
          <w:numId w:val="15"/>
        </w:numPr>
        <w:ind w:left="1800"/>
        <w:rPr>
          <w:sz w:val="24"/>
          <w:szCs w:val="24"/>
        </w:rPr>
      </w:pPr>
      <w:r>
        <w:rPr>
          <w:sz w:val="24"/>
          <w:szCs w:val="24"/>
        </w:rPr>
        <w:t>_</w:t>
      </w:r>
      <w:r w:rsidR="00D43D7A">
        <w:rPr>
          <w:sz w:val="24"/>
          <w:szCs w:val="24"/>
          <w:u w:val="single"/>
        </w:rPr>
        <w:sym w:font="Wingdings" w:char="F0FC"/>
      </w:r>
      <w:r>
        <w:rPr>
          <w:sz w:val="24"/>
          <w:szCs w:val="24"/>
        </w:rPr>
        <w:t xml:space="preserve">__ </w:t>
      </w:r>
      <w:r w:rsidRPr="00071B22">
        <w:rPr>
          <w:sz w:val="24"/>
          <w:szCs w:val="24"/>
        </w:rPr>
        <w:t xml:space="preserve">Positive: </w:t>
      </w:r>
      <w:r>
        <w:rPr>
          <w:sz w:val="24"/>
          <w:szCs w:val="24"/>
        </w:rPr>
        <w:t>This is a lower percentage of</w:t>
      </w:r>
      <w:r w:rsidRPr="00071B22">
        <w:rPr>
          <w:sz w:val="24"/>
          <w:szCs w:val="24"/>
        </w:rPr>
        <w:t xml:space="preserve"> students with </w:t>
      </w:r>
      <w:r>
        <w:rPr>
          <w:sz w:val="24"/>
          <w:szCs w:val="24"/>
        </w:rPr>
        <w:t>D/F/W than previous semester(s)</w:t>
      </w:r>
    </w:p>
    <w:p w14:paraId="063D96CE" w14:textId="77777777" w:rsidR="008C0AED" w:rsidRPr="00071B22" w:rsidRDefault="008C0AED" w:rsidP="008C0AED">
      <w:pPr>
        <w:pStyle w:val="ListParagraph"/>
        <w:numPr>
          <w:ilvl w:val="0"/>
          <w:numId w:val="15"/>
        </w:numPr>
        <w:ind w:left="1800"/>
        <w:rPr>
          <w:sz w:val="24"/>
          <w:szCs w:val="24"/>
        </w:rPr>
      </w:pPr>
      <w:r>
        <w:rPr>
          <w:sz w:val="24"/>
          <w:szCs w:val="24"/>
        </w:rPr>
        <w:t>___ Neutral: This is the s</w:t>
      </w:r>
      <w:r w:rsidRPr="00071B22">
        <w:rPr>
          <w:sz w:val="24"/>
          <w:szCs w:val="24"/>
        </w:rPr>
        <w:t xml:space="preserve">ame </w:t>
      </w:r>
      <w:r>
        <w:rPr>
          <w:sz w:val="24"/>
          <w:szCs w:val="24"/>
        </w:rPr>
        <w:t>percentage</w:t>
      </w:r>
      <w:r w:rsidRPr="00071B22">
        <w:rPr>
          <w:sz w:val="24"/>
          <w:szCs w:val="24"/>
        </w:rPr>
        <w:t xml:space="preserve"> of students with D/F/W than previous semester(s)</w:t>
      </w:r>
    </w:p>
    <w:p w14:paraId="03CF1C28" w14:textId="77777777" w:rsidR="008C0AED" w:rsidRPr="00071B22" w:rsidRDefault="008C0AED" w:rsidP="008C0AED">
      <w:pPr>
        <w:pStyle w:val="ListParagraph"/>
        <w:numPr>
          <w:ilvl w:val="0"/>
          <w:numId w:val="15"/>
        </w:numPr>
        <w:ind w:left="1800"/>
        <w:rPr>
          <w:b/>
          <w:sz w:val="24"/>
          <w:szCs w:val="24"/>
        </w:rPr>
      </w:pPr>
      <w:r w:rsidRPr="00071B22">
        <w:rPr>
          <w:sz w:val="24"/>
          <w:szCs w:val="24"/>
        </w:rPr>
        <w:t xml:space="preserve">___ Negative: </w:t>
      </w:r>
      <w:r>
        <w:rPr>
          <w:sz w:val="24"/>
          <w:szCs w:val="24"/>
        </w:rPr>
        <w:t>This is a hig</w:t>
      </w:r>
      <w:r w:rsidRPr="00071B22">
        <w:rPr>
          <w:sz w:val="24"/>
          <w:szCs w:val="24"/>
        </w:rPr>
        <w:t xml:space="preserve">her </w:t>
      </w:r>
      <w:r>
        <w:rPr>
          <w:sz w:val="24"/>
          <w:szCs w:val="24"/>
        </w:rPr>
        <w:t>percentage</w:t>
      </w:r>
      <w:r w:rsidRPr="00071B22">
        <w:rPr>
          <w:sz w:val="24"/>
          <w:szCs w:val="24"/>
        </w:rPr>
        <w:t xml:space="preserve"> of students with </w:t>
      </w:r>
      <w:r>
        <w:rPr>
          <w:sz w:val="24"/>
          <w:szCs w:val="24"/>
        </w:rPr>
        <w:t>D/F/W than previous semester(s)</w:t>
      </w:r>
    </w:p>
    <w:p w14:paraId="08869403" w14:textId="77777777" w:rsidR="008C0AED" w:rsidRPr="00071B22" w:rsidRDefault="008C0AED" w:rsidP="008C0AED">
      <w:pPr>
        <w:pStyle w:val="ListParagraph"/>
        <w:ind w:left="1800"/>
        <w:rPr>
          <w:b/>
          <w:sz w:val="24"/>
          <w:szCs w:val="24"/>
        </w:rPr>
      </w:pPr>
    </w:p>
    <w:p w14:paraId="6836CF8D" w14:textId="6186F85D" w:rsidR="0073273B" w:rsidRPr="00C45872" w:rsidRDefault="0033401E" w:rsidP="003F4D85">
      <w:pPr>
        <w:pStyle w:val="Heading2"/>
        <w:numPr>
          <w:ilvl w:val="1"/>
          <w:numId w:val="18"/>
        </w:numPr>
        <w:ind w:left="720"/>
      </w:pPr>
      <w:r>
        <w:t xml:space="preserve">Measures </w:t>
      </w:r>
      <w:r w:rsidR="0073273B" w:rsidRPr="00C45872">
        <w:t>Narrative</w:t>
      </w:r>
    </w:p>
    <w:p w14:paraId="28BACB01" w14:textId="77777777" w:rsidR="003E1256" w:rsidRDefault="003E1256" w:rsidP="00787C9F">
      <w:pPr>
        <w:rPr>
          <w:sz w:val="24"/>
          <w:szCs w:val="24"/>
        </w:rPr>
      </w:pPr>
    </w:p>
    <w:p w14:paraId="325012BE" w14:textId="2A44B404" w:rsidR="00AD7B58" w:rsidRDefault="00787C9F" w:rsidP="00787C9F">
      <w:pPr>
        <w:rPr>
          <w:sz w:val="24"/>
          <w:szCs w:val="24"/>
        </w:rPr>
      </w:pPr>
      <w:r w:rsidRPr="00787C9F">
        <w:rPr>
          <w:sz w:val="24"/>
          <w:szCs w:val="24"/>
        </w:rPr>
        <w:t>In the time since the</w:t>
      </w:r>
      <w:r>
        <w:rPr>
          <w:sz w:val="24"/>
          <w:szCs w:val="24"/>
        </w:rPr>
        <w:t xml:space="preserve"> General Chemistry I and II (CHEM 1211 and 1212) courses were redesigned, </w:t>
      </w:r>
      <w:r w:rsidR="00AC2531">
        <w:rPr>
          <w:sz w:val="24"/>
          <w:szCs w:val="24"/>
        </w:rPr>
        <w:t xml:space="preserve">a reduced withdrawal rate and increased success rate have been observed.  There was a slight bump in the statistics during the pandemic but </w:t>
      </w:r>
      <w:r w:rsidR="00761399">
        <w:rPr>
          <w:sz w:val="24"/>
          <w:szCs w:val="24"/>
        </w:rPr>
        <w:t xml:space="preserve">the classes are now back on track.  </w:t>
      </w:r>
      <w:r w:rsidR="00A94E92">
        <w:rPr>
          <w:sz w:val="24"/>
          <w:szCs w:val="24"/>
        </w:rPr>
        <w:t xml:space="preserve">The addition of recitation sections with CLAs </w:t>
      </w:r>
      <w:r w:rsidR="00B01BFF">
        <w:rPr>
          <w:sz w:val="24"/>
          <w:szCs w:val="24"/>
        </w:rPr>
        <w:t xml:space="preserve">where students work in groups to solve complex problems on worksheets has resulted in </w:t>
      </w:r>
      <w:r w:rsidR="005B5C3E">
        <w:rPr>
          <w:sz w:val="24"/>
          <w:szCs w:val="24"/>
        </w:rPr>
        <w:t>higher</w:t>
      </w:r>
      <w:r w:rsidR="00B01BFF">
        <w:rPr>
          <w:sz w:val="24"/>
          <w:szCs w:val="24"/>
        </w:rPr>
        <w:t xml:space="preserve"> student satisfaction with the classes</w:t>
      </w:r>
      <w:r w:rsidR="005B5C3E">
        <w:rPr>
          <w:sz w:val="24"/>
          <w:szCs w:val="24"/>
        </w:rPr>
        <w:t xml:space="preserve"> better retention of the content with concomitant </w:t>
      </w:r>
      <w:r w:rsidR="005404EA">
        <w:rPr>
          <w:sz w:val="24"/>
          <w:szCs w:val="24"/>
        </w:rPr>
        <w:t>increase in success when taking subsequent classes, and a higher level of soft skills.</w:t>
      </w:r>
      <w:r w:rsidR="00AE36F3">
        <w:rPr>
          <w:sz w:val="24"/>
          <w:szCs w:val="24"/>
        </w:rPr>
        <w:t xml:space="preserve">  During the pandemic with the necessary isolation of students, a marked decrease was noted in students’ ability to communicate with one another</w:t>
      </w:r>
      <w:r w:rsidR="00D164E3">
        <w:rPr>
          <w:sz w:val="24"/>
          <w:szCs w:val="24"/>
        </w:rPr>
        <w:t xml:space="preserve"> and the recitations with required group work helped to alleviate that issue. </w:t>
      </w:r>
      <w:r w:rsidR="00B01BFF">
        <w:rPr>
          <w:sz w:val="24"/>
          <w:szCs w:val="24"/>
        </w:rPr>
        <w:t xml:space="preserve"> </w:t>
      </w:r>
      <w:r w:rsidR="00761399">
        <w:rPr>
          <w:sz w:val="24"/>
          <w:szCs w:val="24"/>
        </w:rPr>
        <w:t>Also</w:t>
      </w:r>
      <w:r w:rsidR="003637AC">
        <w:rPr>
          <w:sz w:val="24"/>
          <w:szCs w:val="24"/>
        </w:rPr>
        <w:t>,</w:t>
      </w:r>
      <w:r w:rsidR="00761399">
        <w:rPr>
          <w:sz w:val="24"/>
          <w:szCs w:val="24"/>
        </w:rPr>
        <w:t xml:space="preserve"> during this time period, the Chemistry Department has hired a number of new Lecturers to teach these classes resulting in a decrease in class size from 280 students per section to </w:t>
      </w:r>
      <w:r w:rsidR="00A94E92">
        <w:rPr>
          <w:sz w:val="24"/>
          <w:szCs w:val="24"/>
        </w:rPr>
        <w:t>approximately 85-120 students per section.</w:t>
      </w:r>
    </w:p>
    <w:p w14:paraId="4666DB8C" w14:textId="5ACEA638" w:rsidR="00AD7B58" w:rsidRDefault="00AD7B58" w:rsidP="00787C9F">
      <w:pPr>
        <w:rPr>
          <w:sz w:val="24"/>
          <w:szCs w:val="24"/>
        </w:rPr>
      </w:pPr>
      <w:r>
        <w:rPr>
          <w:sz w:val="24"/>
          <w:szCs w:val="24"/>
        </w:rPr>
        <w:t>The data below</w:t>
      </w:r>
      <w:r w:rsidR="00A94E92">
        <w:rPr>
          <w:sz w:val="24"/>
          <w:szCs w:val="24"/>
        </w:rPr>
        <w:t xml:space="preserve"> </w:t>
      </w:r>
      <w:r w:rsidR="005E57E8">
        <w:rPr>
          <w:sz w:val="24"/>
          <w:szCs w:val="24"/>
        </w:rPr>
        <w:t xml:space="preserve">shows the success rates for the respective general chemistry classes for numerous years.  </w:t>
      </w:r>
      <w:r w:rsidR="002E5CE0">
        <w:rPr>
          <w:sz w:val="24"/>
          <w:szCs w:val="24"/>
        </w:rPr>
        <w:t xml:space="preserve">It is clear that the pedagogical changes made with </w:t>
      </w:r>
      <w:r w:rsidR="00210A73">
        <w:rPr>
          <w:sz w:val="24"/>
          <w:szCs w:val="24"/>
        </w:rPr>
        <w:t xml:space="preserve">the </w:t>
      </w:r>
      <w:r w:rsidR="002E5CE0">
        <w:rPr>
          <w:sz w:val="24"/>
          <w:szCs w:val="24"/>
        </w:rPr>
        <w:t xml:space="preserve">CHEM 1211 and CHEM 1212 </w:t>
      </w:r>
      <w:r w:rsidR="00210A73">
        <w:rPr>
          <w:sz w:val="24"/>
          <w:szCs w:val="24"/>
        </w:rPr>
        <w:t xml:space="preserve">classes along with the reduced class sizes </w:t>
      </w:r>
      <w:r w:rsidR="002E5CE0">
        <w:rPr>
          <w:sz w:val="24"/>
          <w:szCs w:val="24"/>
        </w:rPr>
        <w:t xml:space="preserve">have </w:t>
      </w:r>
      <w:r w:rsidR="00210A73">
        <w:rPr>
          <w:sz w:val="24"/>
          <w:szCs w:val="24"/>
        </w:rPr>
        <w:t xml:space="preserve">positively impacted the </w:t>
      </w:r>
      <w:r w:rsidR="00802930">
        <w:rPr>
          <w:sz w:val="24"/>
          <w:szCs w:val="24"/>
        </w:rPr>
        <w:t xml:space="preserve">general chemistry </w:t>
      </w:r>
      <w:r w:rsidR="00210A73">
        <w:rPr>
          <w:sz w:val="24"/>
          <w:szCs w:val="24"/>
        </w:rPr>
        <w:t>students.</w:t>
      </w:r>
    </w:p>
    <w:p w14:paraId="22185C91" w14:textId="6B90D895" w:rsidR="00D164E3" w:rsidRDefault="00D164E3" w:rsidP="00787C9F">
      <w:pPr>
        <w:rPr>
          <w:rFonts w:asciiTheme="majorHAnsi" w:eastAsiaTheme="majorEastAsia" w:hAnsiTheme="majorHAnsi" w:cstheme="majorBidi"/>
          <w:color w:val="2E74B5" w:themeColor="accent1" w:themeShade="BF"/>
          <w:sz w:val="32"/>
          <w:szCs w:val="32"/>
        </w:rPr>
      </w:pPr>
    </w:p>
    <w:p w14:paraId="2ED1B4F4" w14:textId="3E17D2FA" w:rsidR="003971D9" w:rsidRDefault="003971D9" w:rsidP="00787C9F">
      <w:pPr>
        <w:rPr>
          <w:rFonts w:asciiTheme="majorHAnsi" w:eastAsiaTheme="majorEastAsia" w:hAnsiTheme="majorHAnsi" w:cstheme="majorBidi"/>
          <w:color w:val="2E74B5" w:themeColor="accent1" w:themeShade="BF"/>
          <w:sz w:val="32"/>
          <w:szCs w:val="32"/>
        </w:rPr>
      </w:pPr>
    </w:p>
    <w:p w14:paraId="33058E99" w14:textId="773C4BE3" w:rsidR="003971D9" w:rsidRDefault="003971D9" w:rsidP="00787C9F">
      <w:pPr>
        <w:rPr>
          <w:rFonts w:asciiTheme="majorHAnsi" w:eastAsiaTheme="majorEastAsia" w:hAnsiTheme="majorHAnsi" w:cstheme="majorBidi"/>
          <w:color w:val="2E74B5" w:themeColor="accent1" w:themeShade="BF"/>
          <w:sz w:val="32"/>
          <w:szCs w:val="32"/>
        </w:rPr>
      </w:pPr>
    </w:p>
    <w:p w14:paraId="5F38282B" w14:textId="0869D842" w:rsidR="003971D9" w:rsidRDefault="003971D9" w:rsidP="00787C9F">
      <w:pPr>
        <w:rPr>
          <w:rFonts w:asciiTheme="majorHAnsi" w:eastAsiaTheme="majorEastAsia" w:hAnsiTheme="majorHAnsi" w:cstheme="majorBidi"/>
          <w:color w:val="2E74B5" w:themeColor="accent1" w:themeShade="BF"/>
          <w:sz w:val="32"/>
          <w:szCs w:val="32"/>
        </w:rPr>
      </w:pPr>
    </w:p>
    <w:p w14:paraId="5F9A1F43" w14:textId="77777777" w:rsidR="003971D9" w:rsidRDefault="003971D9" w:rsidP="00787C9F">
      <w:pPr>
        <w:rPr>
          <w:rFonts w:asciiTheme="majorHAnsi" w:eastAsiaTheme="majorEastAsia" w:hAnsiTheme="majorHAnsi" w:cstheme="majorBidi"/>
          <w:color w:val="2E74B5" w:themeColor="accent1" w:themeShade="BF"/>
          <w:sz w:val="32"/>
          <w:szCs w:val="32"/>
        </w:rPr>
      </w:pPr>
      <w:bookmarkStart w:id="0" w:name="_GoBack"/>
      <w:bookmarkEnd w:id="0"/>
    </w:p>
    <w:tbl>
      <w:tblPr>
        <w:tblW w:w="9601" w:type="dxa"/>
        <w:tblLook w:val="04A0" w:firstRow="1" w:lastRow="0" w:firstColumn="1" w:lastColumn="0" w:noHBand="0" w:noVBand="1"/>
      </w:tblPr>
      <w:tblGrid>
        <w:gridCol w:w="628"/>
        <w:gridCol w:w="997"/>
        <w:gridCol w:w="997"/>
        <w:gridCol w:w="997"/>
        <w:gridCol w:w="997"/>
        <w:gridCol w:w="997"/>
        <w:gridCol w:w="997"/>
        <w:gridCol w:w="997"/>
        <w:gridCol w:w="997"/>
        <w:gridCol w:w="997"/>
      </w:tblGrid>
      <w:tr w:rsidR="00250B42" w:rsidRPr="00250B42" w14:paraId="0010DC59" w14:textId="77777777" w:rsidTr="00250B42">
        <w:trPr>
          <w:trHeight w:val="380"/>
        </w:trPr>
        <w:tc>
          <w:tcPr>
            <w:tcW w:w="9601" w:type="dxa"/>
            <w:gridSpan w:val="10"/>
            <w:tcBorders>
              <w:top w:val="single" w:sz="8" w:space="0" w:color="auto"/>
              <w:left w:val="single" w:sz="8" w:space="0" w:color="auto"/>
              <w:bottom w:val="single" w:sz="8" w:space="0" w:color="auto"/>
              <w:right w:val="single" w:sz="12" w:space="0" w:color="000000"/>
            </w:tcBorders>
            <w:shd w:val="clear" w:color="auto" w:fill="auto"/>
            <w:noWrap/>
            <w:vAlign w:val="center"/>
            <w:hideMark/>
          </w:tcPr>
          <w:p w14:paraId="73DCFE33" w14:textId="77777777" w:rsidR="00250B42" w:rsidRPr="00250B42" w:rsidRDefault="00250B42" w:rsidP="00250B42">
            <w:pPr>
              <w:spacing w:after="0" w:line="240" w:lineRule="auto"/>
              <w:jc w:val="center"/>
              <w:rPr>
                <w:rFonts w:ascii="Calibri" w:eastAsia="Times New Roman" w:hAnsi="Calibri" w:cs="Calibri"/>
                <w:b/>
                <w:bCs/>
                <w:color w:val="000000"/>
                <w:sz w:val="28"/>
                <w:szCs w:val="28"/>
              </w:rPr>
            </w:pPr>
            <w:r w:rsidRPr="00250B42">
              <w:rPr>
                <w:rFonts w:ascii="Calibri" w:eastAsia="Times New Roman" w:hAnsi="Calibri" w:cs="Calibri"/>
                <w:b/>
                <w:bCs/>
                <w:color w:val="000000"/>
                <w:sz w:val="28"/>
                <w:szCs w:val="28"/>
              </w:rPr>
              <w:t>Fall CHEM 1211 Grades</w:t>
            </w:r>
          </w:p>
        </w:tc>
      </w:tr>
      <w:tr w:rsidR="00250B42" w:rsidRPr="00250B42" w14:paraId="1175311E" w14:textId="77777777" w:rsidTr="00250B42">
        <w:trPr>
          <w:trHeight w:val="300"/>
        </w:trPr>
        <w:tc>
          <w:tcPr>
            <w:tcW w:w="628" w:type="dxa"/>
            <w:tcBorders>
              <w:top w:val="nil"/>
              <w:left w:val="single" w:sz="8" w:space="0" w:color="auto"/>
              <w:bottom w:val="single" w:sz="8" w:space="0" w:color="auto"/>
              <w:right w:val="single" w:sz="4" w:space="0" w:color="auto"/>
            </w:tcBorders>
            <w:shd w:val="clear" w:color="auto" w:fill="auto"/>
            <w:noWrap/>
            <w:vAlign w:val="center"/>
            <w:hideMark/>
          </w:tcPr>
          <w:p w14:paraId="21E1F283"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 </w:t>
            </w:r>
          </w:p>
        </w:tc>
        <w:tc>
          <w:tcPr>
            <w:tcW w:w="997" w:type="dxa"/>
            <w:tcBorders>
              <w:top w:val="nil"/>
              <w:left w:val="nil"/>
              <w:bottom w:val="single" w:sz="8" w:space="0" w:color="auto"/>
              <w:right w:val="single" w:sz="4" w:space="0" w:color="auto"/>
            </w:tcBorders>
            <w:shd w:val="clear" w:color="auto" w:fill="auto"/>
            <w:noWrap/>
            <w:vAlign w:val="center"/>
            <w:hideMark/>
          </w:tcPr>
          <w:p w14:paraId="74215D8F"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F 2014</w:t>
            </w:r>
          </w:p>
        </w:tc>
        <w:tc>
          <w:tcPr>
            <w:tcW w:w="997" w:type="dxa"/>
            <w:tcBorders>
              <w:top w:val="nil"/>
              <w:left w:val="nil"/>
              <w:bottom w:val="single" w:sz="8" w:space="0" w:color="auto"/>
              <w:right w:val="single" w:sz="4" w:space="0" w:color="auto"/>
            </w:tcBorders>
            <w:shd w:val="clear" w:color="auto" w:fill="auto"/>
            <w:noWrap/>
            <w:vAlign w:val="center"/>
            <w:hideMark/>
          </w:tcPr>
          <w:p w14:paraId="3F0F39D9"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F 2015</w:t>
            </w:r>
          </w:p>
        </w:tc>
        <w:tc>
          <w:tcPr>
            <w:tcW w:w="997" w:type="dxa"/>
            <w:tcBorders>
              <w:top w:val="nil"/>
              <w:left w:val="nil"/>
              <w:bottom w:val="single" w:sz="8" w:space="0" w:color="auto"/>
              <w:right w:val="single" w:sz="4" w:space="0" w:color="auto"/>
            </w:tcBorders>
            <w:shd w:val="clear" w:color="auto" w:fill="auto"/>
            <w:noWrap/>
            <w:vAlign w:val="center"/>
            <w:hideMark/>
          </w:tcPr>
          <w:p w14:paraId="462B2042"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F 2016</w:t>
            </w:r>
          </w:p>
        </w:tc>
        <w:tc>
          <w:tcPr>
            <w:tcW w:w="997" w:type="dxa"/>
            <w:tcBorders>
              <w:top w:val="nil"/>
              <w:left w:val="nil"/>
              <w:bottom w:val="single" w:sz="8" w:space="0" w:color="auto"/>
              <w:right w:val="single" w:sz="4" w:space="0" w:color="auto"/>
            </w:tcBorders>
            <w:shd w:val="clear" w:color="auto" w:fill="auto"/>
            <w:noWrap/>
            <w:vAlign w:val="center"/>
            <w:hideMark/>
          </w:tcPr>
          <w:p w14:paraId="7F81696D"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F 2017</w:t>
            </w:r>
          </w:p>
        </w:tc>
        <w:tc>
          <w:tcPr>
            <w:tcW w:w="997" w:type="dxa"/>
            <w:tcBorders>
              <w:top w:val="nil"/>
              <w:left w:val="nil"/>
              <w:bottom w:val="single" w:sz="8" w:space="0" w:color="auto"/>
              <w:right w:val="single" w:sz="4" w:space="0" w:color="auto"/>
            </w:tcBorders>
            <w:shd w:val="clear" w:color="auto" w:fill="auto"/>
            <w:noWrap/>
            <w:vAlign w:val="center"/>
            <w:hideMark/>
          </w:tcPr>
          <w:p w14:paraId="22B6788E"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F 2018</w:t>
            </w:r>
          </w:p>
        </w:tc>
        <w:tc>
          <w:tcPr>
            <w:tcW w:w="997" w:type="dxa"/>
            <w:tcBorders>
              <w:top w:val="nil"/>
              <w:left w:val="nil"/>
              <w:bottom w:val="single" w:sz="8" w:space="0" w:color="auto"/>
              <w:right w:val="single" w:sz="4" w:space="0" w:color="auto"/>
            </w:tcBorders>
            <w:shd w:val="clear" w:color="auto" w:fill="auto"/>
            <w:noWrap/>
            <w:vAlign w:val="center"/>
            <w:hideMark/>
          </w:tcPr>
          <w:p w14:paraId="4D3BA019"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F 2019</w:t>
            </w:r>
          </w:p>
        </w:tc>
        <w:tc>
          <w:tcPr>
            <w:tcW w:w="997" w:type="dxa"/>
            <w:tcBorders>
              <w:top w:val="nil"/>
              <w:left w:val="nil"/>
              <w:bottom w:val="single" w:sz="8" w:space="0" w:color="auto"/>
              <w:right w:val="single" w:sz="4" w:space="0" w:color="auto"/>
            </w:tcBorders>
            <w:shd w:val="clear" w:color="auto" w:fill="auto"/>
            <w:noWrap/>
            <w:vAlign w:val="center"/>
            <w:hideMark/>
          </w:tcPr>
          <w:p w14:paraId="0379C7FC"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F 2020</w:t>
            </w:r>
          </w:p>
        </w:tc>
        <w:tc>
          <w:tcPr>
            <w:tcW w:w="997" w:type="dxa"/>
            <w:tcBorders>
              <w:top w:val="nil"/>
              <w:left w:val="nil"/>
              <w:bottom w:val="single" w:sz="8" w:space="0" w:color="auto"/>
              <w:right w:val="single" w:sz="4" w:space="0" w:color="auto"/>
            </w:tcBorders>
            <w:shd w:val="clear" w:color="auto" w:fill="auto"/>
            <w:noWrap/>
            <w:vAlign w:val="center"/>
            <w:hideMark/>
          </w:tcPr>
          <w:p w14:paraId="71F9CD69"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F 2021</w:t>
            </w:r>
          </w:p>
        </w:tc>
        <w:tc>
          <w:tcPr>
            <w:tcW w:w="997" w:type="dxa"/>
            <w:tcBorders>
              <w:top w:val="nil"/>
              <w:left w:val="nil"/>
              <w:bottom w:val="single" w:sz="8" w:space="0" w:color="auto"/>
              <w:right w:val="single" w:sz="12" w:space="0" w:color="auto"/>
            </w:tcBorders>
            <w:shd w:val="clear" w:color="auto" w:fill="auto"/>
            <w:noWrap/>
            <w:vAlign w:val="center"/>
            <w:hideMark/>
          </w:tcPr>
          <w:p w14:paraId="174A1E32"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F 2022</w:t>
            </w:r>
          </w:p>
        </w:tc>
      </w:tr>
      <w:tr w:rsidR="00250B42" w:rsidRPr="00250B42" w14:paraId="1A605BA6" w14:textId="77777777" w:rsidTr="00250B42">
        <w:trPr>
          <w:trHeight w:val="290"/>
        </w:trPr>
        <w:tc>
          <w:tcPr>
            <w:tcW w:w="628" w:type="dxa"/>
            <w:tcBorders>
              <w:top w:val="nil"/>
              <w:left w:val="single" w:sz="8" w:space="0" w:color="auto"/>
              <w:bottom w:val="single" w:sz="4" w:space="0" w:color="auto"/>
              <w:right w:val="single" w:sz="4" w:space="0" w:color="auto"/>
            </w:tcBorders>
            <w:shd w:val="clear" w:color="auto" w:fill="auto"/>
            <w:noWrap/>
            <w:vAlign w:val="center"/>
            <w:hideMark/>
          </w:tcPr>
          <w:p w14:paraId="57EA1447"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ABC</w:t>
            </w:r>
          </w:p>
        </w:tc>
        <w:tc>
          <w:tcPr>
            <w:tcW w:w="997" w:type="dxa"/>
            <w:tcBorders>
              <w:top w:val="nil"/>
              <w:left w:val="nil"/>
              <w:bottom w:val="single" w:sz="4" w:space="0" w:color="auto"/>
              <w:right w:val="single" w:sz="4" w:space="0" w:color="auto"/>
            </w:tcBorders>
            <w:shd w:val="clear" w:color="auto" w:fill="auto"/>
            <w:noWrap/>
            <w:vAlign w:val="center"/>
            <w:hideMark/>
          </w:tcPr>
          <w:p w14:paraId="4A18D377"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69.8%</w:t>
            </w:r>
          </w:p>
        </w:tc>
        <w:tc>
          <w:tcPr>
            <w:tcW w:w="997" w:type="dxa"/>
            <w:tcBorders>
              <w:top w:val="nil"/>
              <w:left w:val="nil"/>
              <w:bottom w:val="single" w:sz="4" w:space="0" w:color="auto"/>
              <w:right w:val="single" w:sz="4" w:space="0" w:color="auto"/>
            </w:tcBorders>
            <w:shd w:val="clear" w:color="auto" w:fill="auto"/>
            <w:noWrap/>
            <w:vAlign w:val="center"/>
            <w:hideMark/>
          </w:tcPr>
          <w:p w14:paraId="357556BF"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67.1%</w:t>
            </w:r>
          </w:p>
        </w:tc>
        <w:tc>
          <w:tcPr>
            <w:tcW w:w="997" w:type="dxa"/>
            <w:tcBorders>
              <w:top w:val="nil"/>
              <w:left w:val="nil"/>
              <w:bottom w:val="single" w:sz="4" w:space="0" w:color="auto"/>
              <w:right w:val="single" w:sz="4" w:space="0" w:color="auto"/>
            </w:tcBorders>
            <w:shd w:val="clear" w:color="auto" w:fill="auto"/>
            <w:noWrap/>
            <w:vAlign w:val="center"/>
            <w:hideMark/>
          </w:tcPr>
          <w:p w14:paraId="718DA10B"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65.5%</w:t>
            </w:r>
          </w:p>
        </w:tc>
        <w:tc>
          <w:tcPr>
            <w:tcW w:w="997" w:type="dxa"/>
            <w:tcBorders>
              <w:top w:val="nil"/>
              <w:left w:val="nil"/>
              <w:bottom w:val="single" w:sz="4" w:space="0" w:color="auto"/>
              <w:right w:val="single" w:sz="4" w:space="0" w:color="auto"/>
            </w:tcBorders>
            <w:shd w:val="clear" w:color="auto" w:fill="auto"/>
            <w:noWrap/>
            <w:vAlign w:val="center"/>
            <w:hideMark/>
          </w:tcPr>
          <w:p w14:paraId="61682405"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69.7%</w:t>
            </w:r>
          </w:p>
        </w:tc>
        <w:tc>
          <w:tcPr>
            <w:tcW w:w="997" w:type="dxa"/>
            <w:tcBorders>
              <w:top w:val="nil"/>
              <w:left w:val="nil"/>
              <w:bottom w:val="single" w:sz="4" w:space="0" w:color="auto"/>
              <w:right w:val="single" w:sz="4" w:space="0" w:color="auto"/>
            </w:tcBorders>
            <w:shd w:val="clear" w:color="auto" w:fill="auto"/>
            <w:noWrap/>
            <w:vAlign w:val="center"/>
            <w:hideMark/>
          </w:tcPr>
          <w:p w14:paraId="733ACBEC"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73.8%</w:t>
            </w:r>
          </w:p>
        </w:tc>
        <w:tc>
          <w:tcPr>
            <w:tcW w:w="997" w:type="dxa"/>
            <w:tcBorders>
              <w:top w:val="nil"/>
              <w:left w:val="nil"/>
              <w:bottom w:val="single" w:sz="4" w:space="0" w:color="auto"/>
              <w:right w:val="single" w:sz="4" w:space="0" w:color="auto"/>
            </w:tcBorders>
            <w:shd w:val="clear" w:color="auto" w:fill="auto"/>
            <w:noWrap/>
            <w:vAlign w:val="center"/>
            <w:hideMark/>
          </w:tcPr>
          <w:p w14:paraId="31AE2375"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86.5%</w:t>
            </w:r>
          </w:p>
        </w:tc>
        <w:tc>
          <w:tcPr>
            <w:tcW w:w="997" w:type="dxa"/>
            <w:tcBorders>
              <w:top w:val="nil"/>
              <w:left w:val="nil"/>
              <w:bottom w:val="single" w:sz="4" w:space="0" w:color="auto"/>
              <w:right w:val="single" w:sz="4" w:space="0" w:color="auto"/>
            </w:tcBorders>
            <w:shd w:val="clear" w:color="auto" w:fill="auto"/>
            <w:noWrap/>
            <w:vAlign w:val="center"/>
            <w:hideMark/>
          </w:tcPr>
          <w:p w14:paraId="009309C3"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87.3%</w:t>
            </w:r>
          </w:p>
        </w:tc>
        <w:tc>
          <w:tcPr>
            <w:tcW w:w="997" w:type="dxa"/>
            <w:tcBorders>
              <w:top w:val="nil"/>
              <w:left w:val="nil"/>
              <w:bottom w:val="single" w:sz="4" w:space="0" w:color="auto"/>
              <w:right w:val="single" w:sz="4" w:space="0" w:color="auto"/>
            </w:tcBorders>
            <w:shd w:val="clear" w:color="auto" w:fill="auto"/>
            <w:noWrap/>
            <w:vAlign w:val="center"/>
            <w:hideMark/>
          </w:tcPr>
          <w:p w14:paraId="23EA318B"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73.6%</w:t>
            </w:r>
          </w:p>
        </w:tc>
        <w:tc>
          <w:tcPr>
            <w:tcW w:w="997" w:type="dxa"/>
            <w:tcBorders>
              <w:top w:val="nil"/>
              <w:left w:val="nil"/>
              <w:bottom w:val="single" w:sz="4" w:space="0" w:color="auto"/>
              <w:right w:val="single" w:sz="12" w:space="0" w:color="auto"/>
            </w:tcBorders>
            <w:shd w:val="clear" w:color="auto" w:fill="auto"/>
            <w:noWrap/>
            <w:vAlign w:val="center"/>
            <w:hideMark/>
          </w:tcPr>
          <w:p w14:paraId="6A7B61B5"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76.4%</w:t>
            </w:r>
          </w:p>
        </w:tc>
      </w:tr>
      <w:tr w:rsidR="00250B42" w:rsidRPr="00250B42" w14:paraId="1C76EC02" w14:textId="77777777" w:rsidTr="00250B42">
        <w:trPr>
          <w:trHeight w:val="290"/>
        </w:trPr>
        <w:tc>
          <w:tcPr>
            <w:tcW w:w="628" w:type="dxa"/>
            <w:tcBorders>
              <w:top w:val="nil"/>
              <w:left w:val="single" w:sz="8" w:space="0" w:color="auto"/>
              <w:bottom w:val="single" w:sz="4" w:space="0" w:color="auto"/>
              <w:right w:val="single" w:sz="4" w:space="0" w:color="auto"/>
            </w:tcBorders>
            <w:shd w:val="clear" w:color="auto" w:fill="auto"/>
            <w:noWrap/>
            <w:vAlign w:val="center"/>
            <w:hideMark/>
          </w:tcPr>
          <w:p w14:paraId="7DA8A6E6"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DF</w:t>
            </w:r>
          </w:p>
        </w:tc>
        <w:tc>
          <w:tcPr>
            <w:tcW w:w="997" w:type="dxa"/>
            <w:tcBorders>
              <w:top w:val="nil"/>
              <w:left w:val="nil"/>
              <w:bottom w:val="single" w:sz="4" w:space="0" w:color="auto"/>
              <w:right w:val="single" w:sz="4" w:space="0" w:color="auto"/>
            </w:tcBorders>
            <w:shd w:val="clear" w:color="auto" w:fill="auto"/>
            <w:noWrap/>
            <w:vAlign w:val="center"/>
            <w:hideMark/>
          </w:tcPr>
          <w:p w14:paraId="4A17BD37"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8.7%</w:t>
            </w:r>
          </w:p>
        </w:tc>
        <w:tc>
          <w:tcPr>
            <w:tcW w:w="997" w:type="dxa"/>
            <w:tcBorders>
              <w:top w:val="nil"/>
              <w:left w:val="nil"/>
              <w:bottom w:val="single" w:sz="4" w:space="0" w:color="auto"/>
              <w:right w:val="single" w:sz="4" w:space="0" w:color="auto"/>
            </w:tcBorders>
            <w:shd w:val="clear" w:color="auto" w:fill="auto"/>
            <w:noWrap/>
            <w:vAlign w:val="center"/>
            <w:hideMark/>
          </w:tcPr>
          <w:p w14:paraId="0BC2C3F8"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5.3%</w:t>
            </w:r>
          </w:p>
        </w:tc>
        <w:tc>
          <w:tcPr>
            <w:tcW w:w="997" w:type="dxa"/>
            <w:tcBorders>
              <w:top w:val="nil"/>
              <w:left w:val="nil"/>
              <w:bottom w:val="single" w:sz="4" w:space="0" w:color="auto"/>
              <w:right w:val="single" w:sz="4" w:space="0" w:color="auto"/>
            </w:tcBorders>
            <w:shd w:val="clear" w:color="auto" w:fill="auto"/>
            <w:noWrap/>
            <w:vAlign w:val="center"/>
            <w:hideMark/>
          </w:tcPr>
          <w:p w14:paraId="49E4C487"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6.5%</w:t>
            </w:r>
          </w:p>
        </w:tc>
        <w:tc>
          <w:tcPr>
            <w:tcW w:w="997" w:type="dxa"/>
            <w:tcBorders>
              <w:top w:val="nil"/>
              <w:left w:val="nil"/>
              <w:bottom w:val="single" w:sz="4" w:space="0" w:color="auto"/>
              <w:right w:val="single" w:sz="4" w:space="0" w:color="auto"/>
            </w:tcBorders>
            <w:shd w:val="clear" w:color="auto" w:fill="auto"/>
            <w:noWrap/>
            <w:vAlign w:val="center"/>
            <w:hideMark/>
          </w:tcPr>
          <w:p w14:paraId="68545B2A"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5.2%</w:t>
            </w:r>
          </w:p>
        </w:tc>
        <w:tc>
          <w:tcPr>
            <w:tcW w:w="997" w:type="dxa"/>
            <w:tcBorders>
              <w:top w:val="nil"/>
              <w:left w:val="nil"/>
              <w:bottom w:val="single" w:sz="4" w:space="0" w:color="auto"/>
              <w:right w:val="single" w:sz="4" w:space="0" w:color="auto"/>
            </w:tcBorders>
            <w:shd w:val="clear" w:color="auto" w:fill="auto"/>
            <w:noWrap/>
            <w:vAlign w:val="center"/>
            <w:hideMark/>
          </w:tcPr>
          <w:p w14:paraId="073A3839"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6.3%</w:t>
            </w:r>
          </w:p>
        </w:tc>
        <w:tc>
          <w:tcPr>
            <w:tcW w:w="997" w:type="dxa"/>
            <w:tcBorders>
              <w:top w:val="nil"/>
              <w:left w:val="nil"/>
              <w:bottom w:val="single" w:sz="4" w:space="0" w:color="auto"/>
              <w:right w:val="single" w:sz="4" w:space="0" w:color="auto"/>
            </w:tcBorders>
            <w:shd w:val="clear" w:color="auto" w:fill="auto"/>
            <w:noWrap/>
            <w:vAlign w:val="center"/>
            <w:hideMark/>
          </w:tcPr>
          <w:p w14:paraId="5F8B8DA4"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6.3%</w:t>
            </w:r>
          </w:p>
        </w:tc>
        <w:tc>
          <w:tcPr>
            <w:tcW w:w="997" w:type="dxa"/>
            <w:tcBorders>
              <w:top w:val="nil"/>
              <w:left w:val="nil"/>
              <w:bottom w:val="single" w:sz="4" w:space="0" w:color="auto"/>
              <w:right w:val="single" w:sz="4" w:space="0" w:color="auto"/>
            </w:tcBorders>
            <w:shd w:val="clear" w:color="auto" w:fill="auto"/>
            <w:noWrap/>
            <w:vAlign w:val="center"/>
            <w:hideMark/>
          </w:tcPr>
          <w:p w14:paraId="07C5A97E"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3.2%</w:t>
            </w:r>
          </w:p>
        </w:tc>
        <w:tc>
          <w:tcPr>
            <w:tcW w:w="997" w:type="dxa"/>
            <w:tcBorders>
              <w:top w:val="nil"/>
              <w:left w:val="nil"/>
              <w:bottom w:val="single" w:sz="4" w:space="0" w:color="auto"/>
              <w:right w:val="single" w:sz="4" w:space="0" w:color="auto"/>
            </w:tcBorders>
            <w:shd w:val="clear" w:color="auto" w:fill="auto"/>
            <w:noWrap/>
            <w:vAlign w:val="center"/>
            <w:hideMark/>
          </w:tcPr>
          <w:p w14:paraId="4504033E"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10.1%</w:t>
            </w:r>
          </w:p>
        </w:tc>
        <w:tc>
          <w:tcPr>
            <w:tcW w:w="997" w:type="dxa"/>
            <w:tcBorders>
              <w:top w:val="nil"/>
              <w:left w:val="nil"/>
              <w:bottom w:val="single" w:sz="4" w:space="0" w:color="auto"/>
              <w:right w:val="single" w:sz="12" w:space="0" w:color="auto"/>
            </w:tcBorders>
            <w:shd w:val="clear" w:color="auto" w:fill="auto"/>
            <w:noWrap/>
            <w:vAlign w:val="center"/>
            <w:hideMark/>
          </w:tcPr>
          <w:p w14:paraId="45FD2B67"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9.3%</w:t>
            </w:r>
          </w:p>
        </w:tc>
      </w:tr>
      <w:tr w:rsidR="00250B42" w:rsidRPr="00250B42" w14:paraId="69A24CE8" w14:textId="77777777" w:rsidTr="00250B42">
        <w:trPr>
          <w:trHeight w:val="290"/>
        </w:trPr>
        <w:tc>
          <w:tcPr>
            <w:tcW w:w="628" w:type="dxa"/>
            <w:tcBorders>
              <w:top w:val="nil"/>
              <w:left w:val="single" w:sz="8" w:space="0" w:color="auto"/>
              <w:bottom w:val="single" w:sz="4" w:space="0" w:color="auto"/>
              <w:right w:val="single" w:sz="4" w:space="0" w:color="auto"/>
            </w:tcBorders>
            <w:shd w:val="clear" w:color="auto" w:fill="auto"/>
            <w:noWrap/>
            <w:vAlign w:val="center"/>
            <w:hideMark/>
          </w:tcPr>
          <w:p w14:paraId="1948B72F"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W</w:t>
            </w:r>
          </w:p>
        </w:tc>
        <w:tc>
          <w:tcPr>
            <w:tcW w:w="997" w:type="dxa"/>
            <w:tcBorders>
              <w:top w:val="nil"/>
              <w:left w:val="nil"/>
              <w:bottom w:val="single" w:sz="4" w:space="0" w:color="auto"/>
              <w:right w:val="single" w:sz="4" w:space="0" w:color="auto"/>
            </w:tcBorders>
            <w:shd w:val="clear" w:color="auto" w:fill="auto"/>
            <w:noWrap/>
            <w:vAlign w:val="center"/>
            <w:hideMark/>
          </w:tcPr>
          <w:p w14:paraId="15A8513B"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21.5%</w:t>
            </w:r>
          </w:p>
        </w:tc>
        <w:tc>
          <w:tcPr>
            <w:tcW w:w="997" w:type="dxa"/>
            <w:tcBorders>
              <w:top w:val="nil"/>
              <w:left w:val="nil"/>
              <w:bottom w:val="single" w:sz="4" w:space="0" w:color="auto"/>
              <w:right w:val="single" w:sz="4" w:space="0" w:color="auto"/>
            </w:tcBorders>
            <w:shd w:val="clear" w:color="auto" w:fill="auto"/>
            <w:noWrap/>
            <w:vAlign w:val="center"/>
            <w:hideMark/>
          </w:tcPr>
          <w:p w14:paraId="7540FF06"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27.7%</w:t>
            </w:r>
          </w:p>
        </w:tc>
        <w:tc>
          <w:tcPr>
            <w:tcW w:w="997" w:type="dxa"/>
            <w:tcBorders>
              <w:top w:val="nil"/>
              <w:left w:val="nil"/>
              <w:bottom w:val="single" w:sz="4" w:space="0" w:color="auto"/>
              <w:right w:val="single" w:sz="4" w:space="0" w:color="auto"/>
            </w:tcBorders>
            <w:shd w:val="clear" w:color="auto" w:fill="auto"/>
            <w:noWrap/>
            <w:vAlign w:val="center"/>
            <w:hideMark/>
          </w:tcPr>
          <w:p w14:paraId="59848B07"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27.9%</w:t>
            </w:r>
          </w:p>
        </w:tc>
        <w:tc>
          <w:tcPr>
            <w:tcW w:w="997" w:type="dxa"/>
            <w:tcBorders>
              <w:top w:val="nil"/>
              <w:left w:val="nil"/>
              <w:bottom w:val="single" w:sz="4" w:space="0" w:color="auto"/>
              <w:right w:val="single" w:sz="4" w:space="0" w:color="auto"/>
            </w:tcBorders>
            <w:shd w:val="clear" w:color="auto" w:fill="auto"/>
            <w:noWrap/>
            <w:vAlign w:val="center"/>
            <w:hideMark/>
          </w:tcPr>
          <w:p w14:paraId="4CD68381"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25.1%</w:t>
            </w:r>
          </w:p>
        </w:tc>
        <w:tc>
          <w:tcPr>
            <w:tcW w:w="997" w:type="dxa"/>
            <w:tcBorders>
              <w:top w:val="nil"/>
              <w:left w:val="nil"/>
              <w:bottom w:val="single" w:sz="4" w:space="0" w:color="auto"/>
              <w:right w:val="single" w:sz="4" w:space="0" w:color="auto"/>
            </w:tcBorders>
            <w:shd w:val="clear" w:color="auto" w:fill="auto"/>
            <w:noWrap/>
            <w:vAlign w:val="center"/>
            <w:hideMark/>
          </w:tcPr>
          <w:p w14:paraId="5C7FBE48"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20.0%</w:t>
            </w:r>
          </w:p>
        </w:tc>
        <w:tc>
          <w:tcPr>
            <w:tcW w:w="997" w:type="dxa"/>
            <w:tcBorders>
              <w:top w:val="nil"/>
              <w:left w:val="nil"/>
              <w:bottom w:val="single" w:sz="4" w:space="0" w:color="auto"/>
              <w:right w:val="single" w:sz="4" w:space="0" w:color="auto"/>
            </w:tcBorders>
            <w:shd w:val="clear" w:color="auto" w:fill="auto"/>
            <w:noWrap/>
            <w:vAlign w:val="center"/>
            <w:hideMark/>
          </w:tcPr>
          <w:p w14:paraId="2BB3C8DE"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7.2%</w:t>
            </w:r>
          </w:p>
        </w:tc>
        <w:tc>
          <w:tcPr>
            <w:tcW w:w="997" w:type="dxa"/>
            <w:tcBorders>
              <w:top w:val="nil"/>
              <w:left w:val="nil"/>
              <w:bottom w:val="single" w:sz="4" w:space="0" w:color="auto"/>
              <w:right w:val="single" w:sz="4" w:space="0" w:color="auto"/>
            </w:tcBorders>
            <w:shd w:val="clear" w:color="auto" w:fill="auto"/>
            <w:noWrap/>
            <w:vAlign w:val="center"/>
            <w:hideMark/>
          </w:tcPr>
          <w:p w14:paraId="2B2DB807"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9.5%</w:t>
            </w:r>
          </w:p>
        </w:tc>
        <w:tc>
          <w:tcPr>
            <w:tcW w:w="997" w:type="dxa"/>
            <w:tcBorders>
              <w:top w:val="nil"/>
              <w:left w:val="nil"/>
              <w:bottom w:val="single" w:sz="4" w:space="0" w:color="auto"/>
              <w:right w:val="single" w:sz="4" w:space="0" w:color="auto"/>
            </w:tcBorders>
            <w:shd w:val="clear" w:color="auto" w:fill="auto"/>
            <w:noWrap/>
            <w:vAlign w:val="center"/>
            <w:hideMark/>
          </w:tcPr>
          <w:p w14:paraId="13F9B40B"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16.3%</w:t>
            </w:r>
          </w:p>
        </w:tc>
        <w:tc>
          <w:tcPr>
            <w:tcW w:w="997" w:type="dxa"/>
            <w:tcBorders>
              <w:top w:val="nil"/>
              <w:left w:val="nil"/>
              <w:bottom w:val="single" w:sz="4" w:space="0" w:color="auto"/>
              <w:right w:val="single" w:sz="12" w:space="0" w:color="auto"/>
            </w:tcBorders>
            <w:shd w:val="clear" w:color="auto" w:fill="auto"/>
            <w:noWrap/>
            <w:vAlign w:val="center"/>
            <w:hideMark/>
          </w:tcPr>
          <w:p w14:paraId="6D7CD91E"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14.3%</w:t>
            </w:r>
          </w:p>
        </w:tc>
      </w:tr>
      <w:tr w:rsidR="00250B42" w:rsidRPr="00250B42" w14:paraId="49A251E8" w14:textId="77777777" w:rsidTr="00250B42">
        <w:trPr>
          <w:trHeight w:val="300"/>
        </w:trPr>
        <w:tc>
          <w:tcPr>
            <w:tcW w:w="628" w:type="dxa"/>
            <w:tcBorders>
              <w:top w:val="nil"/>
              <w:left w:val="single" w:sz="8" w:space="0" w:color="auto"/>
              <w:bottom w:val="single" w:sz="8" w:space="0" w:color="auto"/>
              <w:right w:val="single" w:sz="4" w:space="0" w:color="auto"/>
            </w:tcBorders>
            <w:shd w:val="clear" w:color="auto" w:fill="auto"/>
            <w:noWrap/>
            <w:vAlign w:val="center"/>
            <w:hideMark/>
          </w:tcPr>
          <w:p w14:paraId="126D479C" w14:textId="77777777" w:rsidR="00250B42" w:rsidRPr="00250B42" w:rsidRDefault="00250B42" w:rsidP="00250B42">
            <w:pPr>
              <w:spacing w:after="0" w:line="240" w:lineRule="auto"/>
              <w:jc w:val="center"/>
              <w:rPr>
                <w:rFonts w:ascii="Calibri" w:eastAsia="Times New Roman" w:hAnsi="Calibri" w:cs="Calibri"/>
                <w:color w:val="000000"/>
              </w:rPr>
            </w:pPr>
            <w:r w:rsidRPr="00250B42">
              <w:rPr>
                <w:rFonts w:ascii="Calibri" w:eastAsia="Times New Roman" w:hAnsi="Calibri" w:cs="Calibri"/>
                <w:color w:val="000000"/>
              </w:rPr>
              <w:t>n</w:t>
            </w:r>
          </w:p>
        </w:tc>
        <w:tc>
          <w:tcPr>
            <w:tcW w:w="997" w:type="dxa"/>
            <w:tcBorders>
              <w:top w:val="nil"/>
              <w:left w:val="nil"/>
              <w:bottom w:val="single" w:sz="8" w:space="0" w:color="auto"/>
              <w:right w:val="single" w:sz="4" w:space="0" w:color="auto"/>
            </w:tcBorders>
            <w:shd w:val="clear" w:color="auto" w:fill="auto"/>
            <w:noWrap/>
            <w:vAlign w:val="bottom"/>
            <w:hideMark/>
          </w:tcPr>
          <w:p w14:paraId="0560F1A9" w14:textId="77777777" w:rsidR="00250B42" w:rsidRPr="00250B42" w:rsidRDefault="00250B42" w:rsidP="00250B42">
            <w:pPr>
              <w:spacing w:after="0" w:line="240" w:lineRule="auto"/>
              <w:jc w:val="right"/>
              <w:rPr>
                <w:rFonts w:ascii="Calibri" w:eastAsia="Times New Roman" w:hAnsi="Calibri" w:cs="Calibri"/>
                <w:color w:val="000000"/>
              </w:rPr>
            </w:pPr>
            <w:r w:rsidRPr="00250B42">
              <w:rPr>
                <w:rFonts w:ascii="Calibri" w:eastAsia="Times New Roman" w:hAnsi="Calibri" w:cs="Calibri"/>
                <w:color w:val="000000"/>
              </w:rPr>
              <w:t>1694</w:t>
            </w:r>
          </w:p>
        </w:tc>
        <w:tc>
          <w:tcPr>
            <w:tcW w:w="997" w:type="dxa"/>
            <w:tcBorders>
              <w:top w:val="nil"/>
              <w:left w:val="nil"/>
              <w:bottom w:val="single" w:sz="8" w:space="0" w:color="auto"/>
              <w:right w:val="single" w:sz="4" w:space="0" w:color="auto"/>
            </w:tcBorders>
            <w:shd w:val="clear" w:color="auto" w:fill="auto"/>
            <w:noWrap/>
            <w:vAlign w:val="bottom"/>
            <w:hideMark/>
          </w:tcPr>
          <w:p w14:paraId="73238688" w14:textId="77777777" w:rsidR="00250B42" w:rsidRPr="00250B42" w:rsidRDefault="00250B42" w:rsidP="00250B42">
            <w:pPr>
              <w:spacing w:after="0" w:line="240" w:lineRule="auto"/>
              <w:jc w:val="right"/>
              <w:rPr>
                <w:rFonts w:ascii="Calibri" w:eastAsia="Times New Roman" w:hAnsi="Calibri" w:cs="Calibri"/>
                <w:color w:val="000000"/>
              </w:rPr>
            </w:pPr>
            <w:r w:rsidRPr="00250B42">
              <w:rPr>
                <w:rFonts w:ascii="Calibri" w:eastAsia="Times New Roman" w:hAnsi="Calibri" w:cs="Calibri"/>
                <w:color w:val="000000"/>
              </w:rPr>
              <w:t>1578</w:t>
            </w:r>
          </w:p>
        </w:tc>
        <w:tc>
          <w:tcPr>
            <w:tcW w:w="997" w:type="dxa"/>
            <w:tcBorders>
              <w:top w:val="nil"/>
              <w:left w:val="nil"/>
              <w:bottom w:val="single" w:sz="8" w:space="0" w:color="auto"/>
              <w:right w:val="single" w:sz="4" w:space="0" w:color="auto"/>
            </w:tcBorders>
            <w:shd w:val="clear" w:color="auto" w:fill="auto"/>
            <w:noWrap/>
            <w:vAlign w:val="bottom"/>
            <w:hideMark/>
          </w:tcPr>
          <w:p w14:paraId="34ECFAB4" w14:textId="77777777" w:rsidR="00250B42" w:rsidRPr="00250B42" w:rsidRDefault="00250B42" w:rsidP="00250B42">
            <w:pPr>
              <w:spacing w:after="0" w:line="240" w:lineRule="auto"/>
              <w:jc w:val="right"/>
              <w:rPr>
                <w:rFonts w:ascii="Calibri" w:eastAsia="Times New Roman" w:hAnsi="Calibri" w:cs="Calibri"/>
                <w:color w:val="000000"/>
              </w:rPr>
            </w:pPr>
            <w:r w:rsidRPr="00250B42">
              <w:rPr>
                <w:rFonts w:ascii="Calibri" w:eastAsia="Times New Roman" w:hAnsi="Calibri" w:cs="Calibri"/>
                <w:color w:val="000000"/>
              </w:rPr>
              <w:t>1346</w:t>
            </w:r>
          </w:p>
        </w:tc>
        <w:tc>
          <w:tcPr>
            <w:tcW w:w="997" w:type="dxa"/>
            <w:tcBorders>
              <w:top w:val="nil"/>
              <w:left w:val="nil"/>
              <w:bottom w:val="single" w:sz="8" w:space="0" w:color="auto"/>
              <w:right w:val="single" w:sz="4" w:space="0" w:color="auto"/>
            </w:tcBorders>
            <w:shd w:val="clear" w:color="auto" w:fill="auto"/>
            <w:noWrap/>
            <w:vAlign w:val="bottom"/>
            <w:hideMark/>
          </w:tcPr>
          <w:p w14:paraId="025AA96E" w14:textId="77777777" w:rsidR="00250B42" w:rsidRPr="00250B42" w:rsidRDefault="00250B42" w:rsidP="00250B42">
            <w:pPr>
              <w:spacing w:after="0" w:line="240" w:lineRule="auto"/>
              <w:jc w:val="right"/>
              <w:rPr>
                <w:rFonts w:ascii="Calibri" w:eastAsia="Times New Roman" w:hAnsi="Calibri" w:cs="Calibri"/>
                <w:color w:val="000000"/>
              </w:rPr>
            </w:pPr>
            <w:r w:rsidRPr="00250B42">
              <w:rPr>
                <w:rFonts w:ascii="Calibri" w:eastAsia="Times New Roman" w:hAnsi="Calibri" w:cs="Calibri"/>
                <w:color w:val="000000"/>
              </w:rPr>
              <w:t>1256</w:t>
            </w:r>
          </w:p>
        </w:tc>
        <w:tc>
          <w:tcPr>
            <w:tcW w:w="997" w:type="dxa"/>
            <w:tcBorders>
              <w:top w:val="nil"/>
              <w:left w:val="nil"/>
              <w:bottom w:val="single" w:sz="8" w:space="0" w:color="auto"/>
              <w:right w:val="single" w:sz="4" w:space="0" w:color="auto"/>
            </w:tcBorders>
            <w:shd w:val="clear" w:color="auto" w:fill="auto"/>
            <w:noWrap/>
            <w:vAlign w:val="bottom"/>
            <w:hideMark/>
          </w:tcPr>
          <w:p w14:paraId="6B2292DC" w14:textId="77777777" w:rsidR="00250B42" w:rsidRPr="00250B42" w:rsidRDefault="00250B42" w:rsidP="00250B42">
            <w:pPr>
              <w:spacing w:after="0" w:line="240" w:lineRule="auto"/>
              <w:jc w:val="right"/>
              <w:rPr>
                <w:rFonts w:ascii="Calibri" w:eastAsia="Times New Roman" w:hAnsi="Calibri" w:cs="Calibri"/>
                <w:color w:val="000000"/>
              </w:rPr>
            </w:pPr>
            <w:r w:rsidRPr="00250B42">
              <w:rPr>
                <w:rFonts w:ascii="Calibri" w:eastAsia="Times New Roman" w:hAnsi="Calibri" w:cs="Calibri"/>
                <w:color w:val="000000"/>
              </w:rPr>
              <w:t>1278</w:t>
            </w:r>
          </w:p>
        </w:tc>
        <w:tc>
          <w:tcPr>
            <w:tcW w:w="997" w:type="dxa"/>
            <w:tcBorders>
              <w:top w:val="nil"/>
              <w:left w:val="nil"/>
              <w:bottom w:val="single" w:sz="8" w:space="0" w:color="auto"/>
              <w:right w:val="single" w:sz="4" w:space="0" w:color="auto"/>
            </w:tcBorders>
            <w:shd w:val="clear" w:color="auto" w:fill="auto"/>
            <w:noWrap/>
            <w:vAlign w:val="bottom"/>
            <w:hideMark/>
          </w:tcPr>
          <w:p w14:paraId="28690114" w14:textId="77777777" w:rsidR="00250B42" w:rsidRPr="00250B42" w:rsidRDefault="00250B42" w:rsidP="00250B42">
            <w:pPr>
              <w:spacing w:after="0" w:line="240" w:lineRule="auto"/>
              <w:jc w:val="right"/>
              <w:rPr>
                <w:rFonts w:ascii="Calibri" w:eastAsia="Times New Roman" w:hAnsi="Calibri" w:cs="Calibri"/>
                <w:color w:val="000000"/>
              </w:rPr>
            </w:pPr>
            <w:r w:rsidRPr="00250B42">
              <w:rPr>
                <w:rFonts w:ascii="Calibri" w:eastAsia="Times New Roman" w:hAnsi="Calibri" w:cs="Calibri"/>
                <w:color w:val="000000"/>
              </w:rPr>
              <w:t>1160</w:t>
            </w:r>
          </w:p>
        </w:tc>
        <w:tc>
          <w:tcPr>
            <w:tcW w:w="997" w:type="dxa"/>
            <w:tcBorders>
              <w:top w:val="nil"/>
              <w:left w:val="nil"/>
              <w:bottom w:val="single" w:sz="8" w:space="0" w:color="auto"/>
              <w:right w:val="single" w:sz="4" w:space="0" w:color="auto"/>
            </w:tcBorders>
            <w:shd w:val="clear" w:color="auto" w:fill="auto"/>
            <w:noWrap/>
            <w:vAlign w:val="bottom"/>
            <w:hideMark/>
          </w:tcPr>
          <w:p w14:paraId="5F5B301C" w14:textId="77777777" w:rsidR="00250B42" w:rsidRPr="00250B42" w:rsidRDefault="00250B42" w:rsidP="00250B42">
            <w:pPr>
              <w:spacing w:after="0" w:line="240" w:lineRule="auto"/>
              <w:jc w:val="right"/>
              <w:rPr>
                <w:rFonts w:ascii="Calibri" w:eastAsia="Times New Roman" w:hAnsi="Calibri" w:cs="Calibri"/>
                <w:color w:val="000000"/>
              </w:rPr>
            </w:pPr>
            <w:r w:rsidRPr="00250B42">
              <w:rPr>
                <w:rFonts w:ascii="Calibri" w:eastAsia="Times New Roman" w:hAnsi="Calibri" w:cs="Calibri"/>
                <w:color w:val="000000"/>
              </w:rPr>
              <w:t>970</w:t>
            </w:r>
          </w:p>
        </w:tc>
        <w:tc>
          <w:tcPr>
            <w:tcW w:w="997" w:type="dxa"/>
            <w:tcBorders>
              <w:top w:val="nil"/>
              <w:left w:val="nil"/>
              <w:bottom w:val="single" w:sz="8" w:space="0" w:color="auto"/>
              <w:right w:val="single" w:sz="4" w:space="0" w:color="auto"/>
            </w:tcBorders>
            <w:shd w:val="clear" w:color="auto" w:fill="auto"/>
            <w:noWrap/>
            <w:vAlign w:val="bottom"/>
            <w:hideMark/>
          </w:tcPr>
          <w:p w14:paraId="485185D4" w14:textId="77777777" w:rsidR="00250B42" w:rsidRPr="00250B42" w:rsidRDefault="00250B42" w:rsidP="00250B42">
            <w:pPr>
              <w:spacing w:after="0" w:line="240" w:lineRule="auto"/>
              <w:jc w:val="right"/>
              <w:rPr>
                <w:rFonts w:ascii="Calibri" w:eastAsia="Times New Roman" w:hAnsi="Calibri" w:cs="Calibri"/>
                <w:color w:val="000000"/>
              </w:rPr>
            </w:pPr>
            <w:r w:rsidRPr="00250B42">
              <w:rPr>
                <w:rFonts w:ascii="Calibri" w:eastAsia="Times New Roman" w:hAnsi="Calibri" w:cs="Calibri"/>
                <w:color w:val="000000"/>
              </w:rPr>
              <w:t>1139</w:t>
            </w:r>
          </w:p>
        </w:tc>
        <w:tc>
          <w:tcPr>
            <w:tcW w:w="997" w:type="dxa"/>
            <w:tcBorders>
              <w:top w:val="nil"/>
              <w:left w:val="nil"/>
              <w:bottom w:val="single" w:sz="8" w:space="0" w:color="auto"/>
              <w:right w:val="single" w:sz="12" w:space="0" w:color="auto"/>
            </w:tcBorders>
            <w:shd w:val="clear" w:color="auto" w:fill="auto"/>
            <w:noWrap/>
            <w:vAlign w:val="bottom"/>
            <w:hideMark/>
          </w:tcPr>
          <w:p w14:paraId="7A87DFD1" w14:textId="77777777" w:rsidR="00250B42" w:rsidRPr="00250B42" w:rsidRDefault="00250B42" w:rsidP="00250B42">
            <w:pPr>
              <w:spacing w:after="0" w:line="240" w:lineRule="auto"/>
              <w:jc w:val="right"/>
              <w:rPr>
                <w:rFonts w:ascii="Calibri" w:eastAsia="Times New Roman" w:hAnsi="Calibri" w:cs="Calibri"/>
                <w:color w:val="000000"/>
              </w:rPr>
            </w:pPr>
            <w:r w:rsidRPr="00250B42">
              <w:rPr>
                <w:rFonts w:ascii="Calibri" w:eastAsia="Times New Roman" w:hAnsi="Calibri" w:cs="Calibri"/>
                <w:color w:val="000000"/>
              </w:rPr>
              <w:t>1088</w:t>
            </w:r>
          </w:p>
        </w:tc>
      </w:tr>
    </w:tbl>
    <w:p w14:paraId="76D9793F" w14:textId="2FF6975C" w:rsidR="00250B42" w:rsidRDefault="00250B42" w:rsidP="00787C9F">
      <w:pPr>
        <w:rPr>
          <w:rFonts w:asciiTheme="majorHAnsi" w:eastAsiaTheme="majorEastAsia" w:hAnsiTheme="majorHAnsi" w:cstheme="majorBidi"/>
          <w:color w:val="2E74B5" w:themeColor="accent1" w:themeShade="BF"/>
          <w:sz w:val="32"/>
          <w:szCs w:val="32"/>
        </w:rPr>
      </w:pPr>
    </w:p>
    <w:tbl>
      <w:tblPr>
        <w:tblW w:w="8940" w:type="dxa"/>
        <w:tblLook w:val="04A0" w:firstRow="1" w:lastRow="0" w:firstColumn="1" w:lastColumn="0" w:noHBand="0" w:noVBand="1"/>
      </w:tblPr>
      <w:tblGrid>
        <w:gridCol w:w="994"/>
        <w:gridCol w:w="994"/>
        <w:gridCol w:w="994"/>
        <w:gridCol w:w="993"/>
        <w:gridCol w:w="993"/>
        <w:gridCol w:w="993"/>
        <w:gridCol w:w="993"/>
        <w:gridCol w:w="993"/>
        <w:gridCol w:w="993"/>
      </w:tblGrid>
      <w:tr w:rsidR="003B3DBD" w:rsidRPr="003B3DBD" w14:paraId="13B87005" w14:textId="77777777" w:rsidTr="003B3DBD">
        <w:trPr>
          <w:trHeight w:val="380"/>
        </w:trPr>
        <w:tc>
          <w:tcPr>
            <w:tcW w:w="894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435EC56" w14:textId="77777777" w:rsidR="003B3DBD" w:rsidRPr="003B3DBD" w:rsidRDefault="003B3DBD" w:rsidP="003B3DBD">
            <w:pPr>
              <w:spacing w:after="0" w:line="240" w:lineRule="auto"/>
              <w:jc w:val="center"/>
              <w:rPr>
                <w:rFonts w:ascii="Calibri" w:eastAsia="Times New Roman" w:hAnsi="Calibri" w:cs="Calibri"/>
                <w:b/>
                <w:bCs/>
                <w:color w:val="000000"/>
                <w:sz w:val="28"/>
                <w:szCs w:val="28"/>
              </w:rPr>
            </w:pPr>
            <w:r w:rsidRPr="003B3DBD">
              <w:rPr>
                <w:rFonts w:ascii="Calibri" w:eastAsia="Times New Roman" w:hAnsi="Calibri" w:cs="Calibri"/>
                <w:b/>
                <w:bCs/>
                <w:color w:val="000000"/>
                <w:sz w:val="28"/>
                <w:szCs w:val="28"/>
              </w:rPr>
              <w:t>Spring CHEM 1211 Grades</w:t>
            </w:r>
          </w:p>
        </w:tc>
      </w:tr>
      <w:tr w:rsidR="003B3DBD" w:rsidRPr="003B3DBD" w14:paraId="4B6B5C3D" w14:textId="77777777" w:rsidTr="003B3DBD">
        <w:trPr>
          <w:trHeight w:val="300"/>
        </w:trPr>
        <w:tc>
          <w:tcPr>
            <w:tcW w:w="994" w:type="dxa"/>
            <w:tcBorders>
              <w:top w:val="nil"/>
              <w:left w:val="single" w:sz="8" w:space="0" w:color="auto"/>
              <w:bottom w:val="single" w:sz="8" w:space="0" w:color="auto"/>
              <w:right w:val="single" w:sz="4" w:space="0" w:color="auto"/>
            </w:tcBorders>
            <w:shd w:val="clear" w:color="auto" w:fill="auto"/>
            <w:noWrap/>
            <w:vAlign w:val="center"/>
            <w:hideMark/>
          </w:tcPr>
          <w:p w14:paraId="25AE1BF3"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S 2015</w:t>
            </w:r>
          </w:p>
        </w:tc>
        <w:tc>
          <w:tcPr>
            <w:tcW w:w="994" w:type="dxa"/>
            <w:tcBorders>
              <w:top w:val="nil"/>
              <w:left w:val="nil"/>
              <w:bottom w:val="single" w:sz="8" w:space="0" w:color="auto"/>
              <w:right w:val="single" w:sz="4" w:space="0" w:color="auto"/>
            </w:tcBorders>
            <w:shd w:val="clear" w:color="auto" w:fill="auto"/>
            <w:noWrap/>
            <w:vAlign w:val="center"/>
            <w:hideMark/>
          </w:tcPr>
          <w:p w14:paraId="23731298"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S 2016</w:t>
            </w:r>
          </w:p>
        </w:tc>
        <w:tc>
          <w:tcPr>
            <w:tcW w:w="994" w:type="dxa"/>
            <w:tcBorders>
              <w:top w:val="nil"/>
              <w:left w:val="nil"/>
              <w:bottom w:val="single" w:sz="8" w:space="0" w:color="auto"/>
              <w:right w:val="single" w:sz="4" w:space="0" w:color="auto"/>
            </w:tcBorders>
            <w:shd w:val="clear" w:color="auto" w:fill="auto"/>
            <w:noWrap/>
            <w:vAlign w:val="center"/>
            <w:hideMark/>
          </w:tcPr>
          <w:p w14:paraId="109D187B"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S 2017</w:t>
            </w:r>
          </w:p>
        </w:tc>
        <w:tc>
          <w:tcPr>
            <w:tcW w:w="993" w:type="dxa"/>
            <w:tcBorders>
              <w:top w:val="nil"/>
              <w:left w:val="nil"/>
              <w:bottom w:val="single" w:sz="8" w:space="0" w:color="auto"/>
              <w:right w:val="single" w:sz="4" w:space="0" w:color="auto"/>
            </w:tcBorders>
            <w:shd w:val="clear" w:color="auto" w:fill="auto"/>
            <w:noWrap/>
            <w:vAlign w:val="center"/>
            <w:hideMark/>
          </w:tcPr>
          <w:p w14:paraId="75C0D031"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S 2018</w:t>
            </w:r>
          </w:p>
        </w:tc>
        <w:tc>
          <w:tcPr>
            <w:tcW w:w="993" w:type="dxa"/>
            <w:tcBorders>
              <w:top w:val="nil"/>
              <w:left w:val="nil"/>
              <w:bottom w:val="single" w:sz="8" w:space="0" w:color="auto"/>
              <w:right w:val="single" w:sz="4" w:space="0" w:color="auto"/>
            </w:tcBorders>
            <w:shd w:val="clear" w:color="auto" w:fill="auto"/>
            <w:noWrap/>
            <w:vAlign w:val="center"/>
            <w:hideMark/>
          </w:tcPr>
          <w:p w14:paraId="00FFD9C5"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S 2019</w:t>
            </w:r>
          </w:p>
        </w:tc>
        <w:tc>
          <w:tcPr>
            <w:tcW w:w="993" w:type="dxa"/>
            <w:tcBorders>
              <w:top w:val="nil"/>
              <w:left w:val="nil"/>
              <w:bottom w:val="single" w:sz="8" w:space="0" w:color="auto"/>
              <w:right w:val="single" w:sz="4" w:space="0" w:color="auto"/>
            </w:tcBorders>
            <w:shd w:val="clear" w:color="auto" w:fill="auto"/>
            <w:noWrap/>
            <w:vAlign w:val="center"/>
            <w:hideMark/>
          </w:tcPr>
          <w:p w14:paraId="725218AE"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S 2020</w:t>
            </w:r>
          </w:p>
        </w:tc>
        <w:tc>
          <w:tcPr>
            <w:tcW w:w="993" w:type="dxa"/>
            <w:tcBorders>
              <w:top w:val="nil"/>
              <w:left w:val="nil"/>
              <w:bottom w:val="single" w:sz="8" w:space="0" w:color="auto"/>
              <w:right w:val="single" w:sz="4" w:space="0" w:color="auto"/>
            </w:tcBorders>
            <w:shd w:val="clear" w:color="auto" w:fill="auto"/>
            <w:noWrap/>
            <w:vAlign w:val="center"/>
            <w:hideMark/>
          </w:tcPr>
          <w:p w14:paraId="5289BB4E"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S 2021</w:t>
            </w:r>
          </w:p>
        </w:tc>
        <w:tc>
          <w:tcPr>
            <w:tcW w:w="993" w:type="dxa"/>
            <w:tcBorders>
              <w:top w:val="nil"/>
              <w:left w:val="nil"/>
              <w:bottom w:val="single" w:sz="4" w:space="0" w:color="auto"/>
              <w:right w:val="single" w:sz="4" w:space="0" w:color="auto"/>
            </w:tcBorders>
            <w:shd w:val="clear" w:color="auto" w:fill="auto"/>
            <w:noWrap/>
            <w:vAlign w:val="center"/>
            <w:hideMark/>
          </w:tcPr>
          <w:p w14:paraId="08E37A87"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S 2022</w:t>
            </w:r>
          </w:p>
        </w:tc>
        <w:tc>
          <w:tcPr>
            <w:tcW w:w="993" w:type="dxa"/>
            <w:tcBorders>
              <w:top w:val="nil"/>
              <w:left w:val="nil"/>
              <w:bottom w:val="single" w:sz="4" w:space="0" w:color="auto"/>
              <w:right w:val="single" w:sz="8" w:space="0" w:color="auto"/>
            </w:tcBorders>
            <w:shd w:val="clear" w:color="auto" w:fill="auto"/>
            <w:noWrap/>
            <w:vAlign w:val="center"/>
            <w:hideMark/>
          </w:tcPr>
          <w:p w14:paraId="19E042B2"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S 2023</w:t>
            </w:r>
          </w:p>
        </w:tc>
      </w:tr>
      <w:tr w:rsidR="003B3DBD" w:rsidRPr="003B3DBD" w14:paraId="0848D8B3" w14:textId="77777777" w:rsidTr="003B3DBD">
        <w:trPr>
          <w:trHeight w:val="290"/>
        </w:trPr>
        <w:tc>
          <w:tcPr>
            <w:tcW w:w="994" w:type="dxa"/>
            <w:tcBorders>
              <w:top w:val="nil"/>
              <w:left w:val="single" w:sz="8" w:space="0" w:color="auto"/>
              <w:bottom w:val="single" w:sz="4" w:space="0" w:color="auto"/>
              <w:right w:val="single" w:sz="4" w:space="0" w:color="auto"/>
            </w:tcBorders>
            <w:shd w:val="clear" w:color="auto" w:fill="auto"/>
            <w:noWrap/>
            <w:vAlign w:val="center"/>
            <w:hideMark/>
          </w:tcPr>
          <w:p w14:paraId="70BE6520"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54.9%</w:t>
            </w:r>
          </w:p>
        </w:tc>
        <w:tc>
          <w:tcPr>
            <w:tcW w:w="994" w:type="dxa"/>
            <w:tcBorders>
              <w:top w:val="nil"/>
              <w:left w:val="nil"/>
              <w:bottom w:val="single" w:sz="4" w:space="0" w:color="auto"/>
              <w:right w:val="single" w:sz="4" w:space="0" w:color="auto"/>
            </w:tcBorders>
            <w:shd w:val="clear" w:color="auto" w:fill="auto"/>
            <w:noWrap/>
            <w:vAlign w:val="center"/>
            <w:hideMark/>
          </w:tcPr>
          <w:p w14:paraId="533A7C14"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74.5%</w:t>
            </w:r>
          </w:p>
        </w:tc>
        <w:tc>
          <w:tcPr>
            <w:tcW w:w="994" w:type="dxa"/>
            <w:tcBorders>
              <w:top w:val="nil"/>
              <w:left w:val="nil"/>
              <w:bottom w:val="single" w:sz="4" w:space="0" w:color="auto"/>
              <w:right w:val="single" w:sz="4" w:space="0" w:color="auto"/>
            </w:tcBorders>
            <w:shd w:val="clear" w:color="auto" w:fill="auto"/>
            <w:noWrap/>
            <w:vAlign w:val="center"/>
            <w:hideMark/>
          </w:tcPr>
          <w:p w14:paraId="05B6E40F"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66.4%</w:t>
            </w:r>
          </w:p>
        </w:tc>
        <w:tc>
          <w:tcPr>
            <w:tcW w:w="993" w:type="dxa"/>
            <w:tcBorders>
              <w:top w:val="nil"/>
              <w:left w:val="nil"/>
              <w:bottom w:val="single" w:sz="4" w:space="0" w:color="auto"/>
              <w:right w:val="single" w:sz="4" w:space="0" w:color="auto"/>
            </w:tcBorders>
            <w:shd w:val="clear" w:color="auto" w:fill="auto"/>
            <w:noWrap/>
            <w:vAlign w:val="center"/>
            <w:hideMark/>
          </w:tcPr>
          <w:p w14:paraId="5457D04A"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71.9%</w:t>
            </w:r>
          </w:p>
        </w:tc>
        <w:tc>
          <w:tcPr>
            <w:tcW w:w="993" w:type="dxa"/>
            <w:tcBorders>
              <w:top w:val="nil"/>
              <w:left w:val="nil"/>
              <w:bottom w:val="single" w:sz="4" w:space="0" w:color="auto"/>
              <w:right w:val="single" w:sz="4" w:space="0" w:color="auto"/>
            </w:tcBorders>
            <w:shd w:val="clear" w:color="auto" w:fill="auto"/>
            <w:noWrap/>
            <w:vAlign w:val="center"/>
            <w:hideMark/>
          </w:tcPr>
          <w:p w14:paraId="47DE939B"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83.1%</w:t>
            </w:r>
          </w:p>
        </w:tc>
        <w:tc>
          <w:tcPr>
            <w:tcW w:w="993" w:type="dxa"/>
            <w:tcBorders>
              <w:top w:val="nil"/>
              <w:left w:val="nil"/>
              <w:bottom w:val="single" w:sz="4" w:space="0" w:color="auto"/>
              <w:right w:val="single" w:sz="4" w:space="0" w:color="auto"/>
            </w:tcBorders>
            <w:shd w:val="clear" w:color="auto" w:fill="auto"/>
            <w:noWrap/>
            <w:vAlign w:val="center"/>
            <w:hideMark/>
          </w:tcPr>
          <w:p w14:paraId="40D16A4A"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86.8%</w:t>
            </w:r>
          </w:p>
        </w:tc>
        <w:tc>
          <w:tcPr>
            <w:tcW w:w="993" w:type="dxa"/>
            <w:tcBorders>
              <w:top w:val="nil"/>
              <w:left w:val="nil"/>
              <w:bottom w:val="single" w:sz="4" w:space="0" w:color="auto"/>
              <w:right w:val="single" w:sz="4" w:space="0" w:color="auto"/>
            </w:tcBorders>
            <w:shd w:val="clear" w:color="auto" w:fill="auto"/>
            <w:noWrap/>
            <w:vAlign w:val="center"/>
            <w:hideMark/>
          </w:tcPr>
          <w:p w14:paraId="3CE76F93"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76.5%</w:t>
            </w:r>
          </w:p>
        </w:tc>
        <w:tc>
          <w:tcPr>
            <w:tcW w:w="993" w:type="dxa"/>
            <w:tcBorders>
              <w:top w:val="nil"/>
              <w:left w:val="nil"/>
              <w:bottom w:val="single" w:sz="4" w:space="0" w:color="auto"/>
              <w:right w:val="single" w:sz="4" w:space="0" w:color="auto"/>
            </w:tcBorders>
            <w:shd w:val="clear" w:color="auto" w:fill="auto"/>
            <w:noWrap/>
            <w:vAlign w:val="center"/>
            <w:hideMark/>
          </w:tcPr>
          <w:p w14:paraId="15B03A50"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79.5%</w:t>
            </w:r>
          </w:p>
        </w:tc>
        <w:tc>
          <w:tcPr>
            <w:tcW w:w="993" w:type="dxa"/>
            <w:tcBorders>
              <w:top w:val="nil"/>
              <w:left w:val="nil"/>
              <w:bottom w:val="single" w:sz="4" w:space="0" w:color="auto"/>
              <w:right w:val="single" w:sz="8" w:space="0" w:color="auto"/>
            </w:tcBorders>
            <w:shd w:val="clear" w:color="auto" w:fill="auto"/>
            <w:noWrap/>
            <w:vAlign w:val="center"/>
            <w:hideMark/>
          </w:tcPr>
          <w:p w14:paraId="24B9D5B9"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85.8%</w:t>
            </w:r>
          </w:p>
        </w:tc>
      </w:tr>
      <w:tr w:rsidR="003B3DBD" w:rsidRPr="003B3DBD" w14:paraId="18661E9B" w14:textId="77777777" w:rsidTr="003B3DBD">
        <w:trPr>
          <w:trHeight w:val="290"/>
        </w:trPr>
        <w:tc>
          <w:tcPr>
            <w:tcW w:w="994" w:type="dxa"/>
            <w:tcBorders>
              <w:top w:val="nil"/>
              <w:left w:val="single" w:sz="8" w:space="0" w:color="auto"/>
              <w:bottom w:val="single" w:sz="4" w:space="0" w:color="auto"/>
              <w:right w:val="single" w:sz="4" w:space="0" w:color="auto"/>
            </w:tcBorders>
            <w:shd w:val="clear" w:color="auto" w:fill="auto"/>
            <w:noWrap/>
            <w:vAlign w:val="center"/>
            <w:hideMark/>
          </w:tcPr>
          <w:p w14:paraId="6DAE113C"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16.8%</w:t>
            </w:r>
          </w:p>
        </w:tc>
        <w:tc>
          <w:tcPr>
            <w:tcW w:w="994" w:type="dxa"/>
            <w:tcBorders>
              <w:top w:val="nil"/>
              <w:left w:val="nil"/>
              <w:bottom w:val="single" w:sz="4" w:space="0" w:color="auto"/>
              <w:right w:val="single" w:sz="4" w:space="0" w:color="auto"/>
            </w:tcBorders>
            <w:shd w:val="clear" w:color="auto" w:fill="auto"/>
            <w:noWrap/>
            <w:vAlign w:val="center"/>
            <w:hideMark/>
          </w:tcPr>
          <w:p w14:paraId="49D80C34"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9.7%</w:t>
            </w:r>
          </w:p>
        </w:tc>
        <w:tc>
          <w:tcPr>
            <w:tcW w:w="994" w:type="dxa"/>
            <w:tcBorders>
              <w:top w:val="nil"/>
              <w:left w:val="nil"/>
              <w:bottom w:val="single" w:sz="4" w:space="0" w:color="auto"/>
              <w:right w:val="single" w:sz="4" w:space="0" w:color="auto"/>
            </w:tcBorders>
            <w:shd w:val="clear" w:color="auto" w:fill="auto"/>
            <w:noWrap/>
            <w:vAlign w:val="center"/>
            <w:hideMark/>
          </w:tcPr>
          <w:p w14:paraId="005905D4"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11.7%</w:t>
            </w:r>
          </w:p>
        </w:tc>
        <w:tc>
          <w:tcPr>
            <w:tcW w:w="993" w:type="dxa"/>
            <w:tcBorders>
              <w:top w:val="nil"/>
              <w:left w:val="nil"/>
              <w:bottom w:val="single" w:sz="4" w:space="0" w:color="auto"/>
              <w:right w:val="single" w:sz="4" w:space="0" w:color="auto"/>
            </w:tcBorders>
            <w:shd w:val="clear" w:color="auto" w:fill="auto"/>
            <w:noWrap/>
            <w:vAlign w:val="center"/>
            <w:hideMark/>
          </w:tcPr>
          <w:p w14:paraId="72414ECF"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8.2%</w:t>
            </w:r>
          </w:p>
        </w:tc>
        <w:tc>
          <w:tcPr>
            <w:tcW w:w="993" w:type="dxa"/>
            <w:tcBorders>
              <w:top w:val="nil"/>
              <w:left w:val="nil"/>
              <w:bottom w:val="single" w:sz="4" w:space="0" w:color="auto"/>
              <w:right w:val="single" w:sz="4" w:space="0" w:color="auto"/>
            </w:tcBorders>
            <w:shd w:val="clear" w:color="auto" w:fill="auto"/>
            <w:noWrap/>
            <w:vAlign w:val="center"/>
            <w:hideMark/>
          </w:tcPr>
          <w:p w14:paraId="4E794F44"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4.7%</w:t>
            </w:r>
          </w:p>
        </w:tc>
        <w:tc>
          <w:tcPr>
            <w:tcW w:w="993" w:type="dxa"/>
            <w:tcBorders>
              <w:top w:val="nil"/>
              <w:left w:val="nil"/>
              <w:bottom w:val="single" w:sz="4" w:space="0" w:color="auto"/>
              <w:right w:val="single" w:sz="4" w:space="0" w:color="auto"/>
            </w:tcBorders>
            <w:shd w:val="clear" w:color="auto" w:fill="auto"/>
            <w:noWrap/>
            <w:vAlign w:val="center"/>
            <w:hideMark/>
          </w:tcPr>
          <w:p w14:paraId="1EE2B381"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2.7%</w:t>
            </w:r>
          </w:p>
        </w:tc>
        <w:tc>
          <w:tcPr>
            <w:tcW w:w="993" w:type="dxa"/>
            <w:tcBorders>
              <w:top w:val="nil"/>
              <w:left w:val="nil"/>
              <w:bottom w:val="single" w:sz="4" w:space="0" w:color="auto"/>
              <w:right w:val="single" w:sz="4" w:space="0" w:color="auto"/>
            </w:tcBorders>
            <w:shd w:val="clear" w:color="auto" w:fill="auto"/>
            <w:noWrap/>
            <w:vAlign w:val="center"/>
            <w:hideMark/>
          </w:tcPr>
          <w:p w14:paraId="7A0D207F"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12.6%</w:t>
            </w:r>
          </w:p>
        </w:tc>
        <w:tc>
          <w:tcPr>
            <w:tcW w:w="993" w:type="dxa"/>
            <w:tcBorders>
              <w:top w:val="nil"/>
              <w:left w:val="nil"/>
              <w:bottom w:val="single" w:sz="4" w:space="0" w:color="auto"/>
              <w:right w:val="single" w:sz="4" w:space="0" w:color="auto"/>
            </w:tcBorders>
            <w:shd w:val="clear" w:color="auto" w:fill="auto"/>
            <w:noWrap/>
            <w:vAlign w:val="center"/>
            <w:hideMark/>
          </w:tcPr>
          <w:p w14:paraId="64A490A9"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10.3%</w:t>
            </w:r>
          </w:p>
        </w:tc>
        <w:tc>
          <w:tcPr>
            <w:tcW w:w="993" w:type="dxa"/>
            <w:tcBorders>
              <w:top w:val="nil"/>
              <w:left w:val="nil"/>
              <w:bottom w:val="single" w:sz="4" w:space="0" w:color="auto"/>
              <w:right w:val="single" w:sz="8" w:space="0" w:color="auto"/>
            </w:tcBorders>
            <w:shd w:val="clear" w:color="auto" w:fill="auto"/>
            <w:noWrap/>
            <w:vAlign w:val="center"/>
            <w:hideMark/>
          </w:tcPr>
          <w:p w14:paraId="184E8C39"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8.5%</w:t>
            </w:r>
          </w:p>
        </w:tc>
      </w:tr>
      <w:tr w:rsidR="003B3DBD" w:rsidRPr="003B3DBD" w14:paraId="7DBCFFD7" w14:textId="77777777" w:rsidTr="003B3DBD">
        <w:trPr>
          <w:trHeight w:val="290"/>
        </w:trPr>
        <w:tc>
          <w:tcPr>
            <w:tcW w:w="994" w:type="dxa"/>
            <w:tcBorders>
              <w:top w:val="nil"/>
              <w:left w:val="single" w:sz="8" w:space="0" w:color="auto"/>
              <w:bottom w:val="single" w:sz="4" w:space="0" w:color="auto"/>
              <w:right w:val="single" w:sz="4" w:space="0" w:color="auto"/>
            </w:tcBorders>
            <w:shd w:val="clear" w:color="auto" w:fill="auto"/>
            <w:noWrap/>
            <w:vAlign w:val="center"/>
            <w:hideMark/>
          </w:tcPr>
          <w:p w14:paraId="20B0E71E"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28.4%</w:t>
            </w:r>
          </w:p>
        </w:tc>
        <w:tc>
          <w:tcPr>
            <w:tcW w:w="994" w:type="dxa"/>
            <w:tcBorders>
              <w:top w:val="nil"/>
              <w:left w:val="nil"/>
              <w:bottom w:val="single" w:sz="4" w:space="0" w:color="auto"/>
              <w:right w:val="single" w:sz="4" w:space="0" w:color="auto"/>
            </w:tcBorders>
            <w:shd w:val="clear" w:color="auto" w:fill="auto"/>
            <w:noWrap/>
            <w:vAlign w:val="center"/>
            <w:hideMark/>
          </w:tcPr>
          <w:p w14:paraId="3D9F3653"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15.8%</w:t>
            </w:r>
          </w:p>
        </w:tc>
        <w:tc>
          <w:tcPr>
            <w:tcW w:w="994" w:type="dxa"/>
            <w:tcBorders>
              <w:top w:val="nil"/>
              <w:left w:val="nil"/>
              <w:bottom w:val="single" w:sz="4" w:space="0" w:color="auto"/>
              <w:right w:val="single" w:sz="4" w:space="0" w:color="auto"/>
            </w:tcBorders>
            <w:shd w:val="clear" w:color="auto" w:fill="auto"/>
            <w:noWrap/>
            <w:vAlign w:val="center"/>
            <w:hideMark/>
          </w:tcPr>
          <w:p w14:paraId="1FF3F27C"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21.9%</w:t>
            </w:r>
          </w:p>
        </w:tc>
        <w:tc>
          <w:tcPr>
            <w:tcW w:w="993" w:type="dxa"/>
            <w:tcBorders>
              <w:top w:val="nil"/>
              <w:left w:val="nil"/>
              <w:bottom w:val="single" w:sz="4" w:space="0" w:color="auto"/>
              <w:right w:val="single" w:sz="4" w:space="0" w:color="auto"/>
            </w:tcBorders>
            <w:shd w:val="clear" w:color="auto" w:fill="auto"/>
            <w:noWrap/>
            <w:vAlign w:val="center"/>
            <w:hideMark/>
          </w:tcPr>
          <w:p w14:paraId="6CAA3AD6"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19.9%</w:t>
            </w:r>
          </w:p>
        </w:tc>
        <w:tc>
          <w:tcPr>
            <w:tcW w:w="993" w:type="dxa"/>
            <w:tcBorders>
              <w:top w:val="nil"/>
              <w:left w:val="nil"/>
              <w:bottom w:val="single" w:sz="4" w:space="0" w:color="auto"/>
              <w:right w:val="single" w:sz="4" w:space="0" w:color="auto"/>
            </w:tcBorders>
            <w:shd w:val="clear" w:color="auto" w:fill="auto"/>
            <w:noWrap/>
            <w:vAlign w:val="center"/>
            <w:hideMark/>
          </w:tcPr>
          <w:p w14:paraId="59A021FF"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12.2%</w:t>
            </w:r>
          </w:p>
        </w:tc>
        <w:tc>
          <w:tcPr>
            <w:tcW w:w="993" w:type="dxa"/>
            <w:tcBorders>
              <w:top w:val="nil"/>
              <w:left w:val="nil"/>
              <w:bottom w:val="single" w:sz="4" w:space="0" w:color="auto"/>
              <w:right w:val="single" w:sz="4" w:space="0" w:color="auto"/>
            </w:tcBorders>
            <w:shd w:val="clear" w:color="auto" w:fill="auto"/>
            <w:noWrap/>
            <w:vAlign w:val="center"/>
            <w:hideMark/>
          </w:tcPr>
          <w:p w14:paraId="6F451005"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10.6%</w:t>
            </w:r>
          </w:p>
        </w:tc>
        <w:tc>
          <w:tcPr>
            <w:tcW w:w="993" w:type="dxa"/>
            <w:tcBorders>
              <w:top w:val="nil"/>
              <w:left w:val="nil"/>
              <w:bottom w:val="single" w:sz="4" w:space="0" w:color="auto"/>
              <w:right w:val="single" w:sz="4" w:space="0" w:color="auto"/>
            </w:tcBorders>
            <w:shd w:val="clear" w:color="auto" w:fill="auto"/>
            <w:noWrap/>
            <w:vAlign w:val="center"/>
            <w:hideMark/>
          </w:tcPr>
          <w:p w14:paraId="47848E98"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10.9%</w:t>
            </w:r>
          </w:p>
        </w:tc>
        <w:tc>
          <w:tcPr>
            <w:tcW w:w="993" w:type="dxa"/>
            <w:tcBorders>
              <w:top w:val="nil"/>
              <w:left w:val="nil"/>
              <w:bottom w:val="single" w:sz="4" w:space="0" w:color="auto"/>
              <w:right w:val="single" w:sz="4" w:space="0" w:color="auto"/>
            </w:tcBorders>
            <w:shd w:val="clear" w:color="auto" w:fill="auto"/>
            <w:noWrap/>
            <w:vAlign w:val="center"/>
            <w:hideMark/>
          </w:tcPr>
          <w:p w14:paraId="435F43F2"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10.2%</w:t>
            </w:r>
          </w:p>
        </w:tc>
        <w:tc>
          <w:tcPr>
            <w:tcW w:w="993" w:type="dxa"/>
            <w:tcBorders>
              <w:top w:val="nil"/>
              <w:left w:val="nil"/>
              <w:bottom w:val="single" w:sz="4" w:space="0" w:color="auto"/>
              <w:right w:val="single" w:sz="8" w:space="0" w:color="auto"/>
            </w:tcBorders>
            <w:shd w:val="clear" w:color="auto" w:fill="auto"/>
            <w:noWrap/>
            <w:vAlign w:val="center"/>
            <w:hideMark/>
          </w:tcPr>
          <w:p w14:paraId="38BE75E1" w14:textId="77777777" w:rsidR="003B3DBD" w:rsidRPr="003B3DBD" w:rsidRDefault="003B3DBD" w:rsidP="003B3DBD">
            <w:pPr>
              <w:spacing w:after="0" w:line="240" w:lineRule="auto"/>
              <w:jc w:val="center"/>
              <w:rPr>
                <w:rFonts w:ascii="Calibri" w:eastAsia="Times New Roman" w:hAnsi="Calibri" w:cs="Calibri"/>
                <w:color w:val="000000"/>
              </w:rPr>
            </w:pPr>
            <w:r w:rsidRPr="003B3DBD">
              <w:rPr>
                <w:rFonts w:ascii="Calibri" w:eastAsia="Times New Roman" w:hAnsi="Calibri" w:cs="Calibri"/>
                <w:color w:val="000000"/>
              </w:rPr>
              <w:t>5.8%</w:t>
            </w:r>
          </w:p>
        </w:tc>
      </w:tr>
      <w:tr w:rsidR="003B3DBD" w:rsidRPr="003B3DBD" w14:paraId="501A4DC9" w14:textId="77777777" w:rsidTr="003B3DBD">
        <w:trPr>
          <w:trHeight w:val="300"/>
        </w:trPr>
        <w:tc>
          <w:tcPr>
            <w:tcW w:w="994" w:type="dxa"/>
            <w:tcBorders>
              <w:top w:val="nil"/>
              <w:left w:val="single" w:sz="8" w:space="0" w:color="auto"/>
              <w:bottom w:val="single" w:sz="8" w:space="0" w:color="auto"/>
              <w:right w:val="single" w:sz="4" w:space="0" w:color="auto"/>
            </w:tcBorders>
            <w:shd w:val="clear" w:color="auto" w:fill="auto"/>
            <w:noWrap/>
            <w:vAlign w:val="bottom"/>
            <w:hideMark/>
          </w:tcPr>
          <w:p w14:paraId="56AFE9C5" w14:textId="77777777" w:rsidR="003B3DBD" w:rsidRPr="003B3DBD" w:rsidRDefault="003B3DBD" w:rsidP="003B3DBD">
            <w:pPr>
              <w:spacing w:after="0" w:line="240" w:lineRule="auto"/>
              <w:jc w:val="right"/>
              <w:rPr>
                <w:rFonts w:ascii="Calibri" w:eastAsia="Times New Roman" w:hAnsi="Calibri" w:cs="Calibri"/>
                <w:color w:val="000000"/>
              </w:rPr>
            </w:pPr>
            <w:r w:rsidRPr="003B3DBD">
              <w:rPr>
                <w:rFonts w:ascii="Calibri" w:eastAsia="Times New Roman" w:hAnsi="Calibri" w:cs="Calibri"/>
                <w:color w:val="000000"/>
              </w:rPr>
              <w:t>656</w:t>
            </w:r>
          </w:p>
        </w:tc>
        <w:tc>
          <w:tcPr>
            <w:tcW w:w="994" w:type="dxa"/>
            <w:tcBorders>
              <w:top w:val="nil"/>
              <w:left w:val="nil"/>
              <w:bottom w:val="single" w:sz="8" w:space="0" w:color="auto"/>
              <w:right w:val="single" w:sz="4" w:space="0" w:color="auto"/>
            </w:tcBorders>
            <w:shd w:val="clear" w:color="auto" w:fill="auto"/>
            <w:noWrap/>
            <w:vAlign w:val="center"/>
            <w:hideMark/>
          </w:tcPr>
          <w:p w14:paraId="35A7FE6A" w14:textId="77777777" w:rsidR="003B3DBD" w:rsidRPr="003B3DBD" w:rsidRDefault="003B3DBD" w:rsidP="003B3DBD">
            <w:pPr>
              <w:spacing w:after="0" w:line="240" w:lineRule="auto"/>
              <w:jc w:val="right"/>
              <w:rPr>
                <w:rFonts w:ascii="Calibri" w:eastAsia="Times New Roman" w:hAnsi="Calibri" w:cs="Calibri"/>
                <w:color w:val="000000"/>
              </w:rPr>
            </w:pPr>
            <w:r w:rsidRPr="003B3DBD">
              <w:rPr>
                <w:rFonts w:ascii="Calibri" w:eastAsia="Times New Roman" w:hAnsi="Calibri" w:cs="Calibri"/>
                <w:color w:val="000000"/>
              </w:rPr>
              <w:t>682</w:t>
            </w:r>
          </w:p>
        </w:tc>
        <w:tc>
          <w:tcPr>
            <w:tcW w:w="994" w:type="dxa"/>
            <w:tcBorders>
              <w:top w:val="nil"/>
              <w:left w:val="nil"/>
              <w:bottom w:val="single" w:sz="8" w:space="0" w:color="auto"/>
              <w:right w:val="single" w:sz="4" w:space="0" w:color="auto"/>
            </w:tcBorders>
            <w:shd w:val="clear" w:color="auto" w:fill="auto"/>
            <w:noWrap/>
            <w:vAlign w:val="center"/>
            <w:hideMark/>
          </w:tcPr>
          <w:p w14:paraId="08D7E5CE" w14:textId="77777777" w:rsidR="003B3DBD" w:rsidRPr="003B3DBD" w:rsidRDefault="003B3DBD" w:rsidP="003B3DBD">
            <w:pPr>
              <w:spacing w:after="0" w:line="240" w:lineRule="auto"/>
              <w:jc w:val="right"/>
              <w:rPr>
                <w:rFonts w:ascii="Calibri" w:eastAsia="Times New Roman" w:hAnsi="Calibri" w:cs="Calibri"/>
                <w:color w:val="000000"/>
              </w:rPr>
            </w:pPr>
            <w:r w:rsidRPr="003B3DBD">
              <w:rPr>
                <w:rFonts w:ascii="Calibri" w:eastAsia="Times New Roman" w:hAnsi="Calibri" w:cs="Calibri"/>
                <w:color w:val="000000"/>
              </w:rPr>
              <w:t>929</w:t>
            </w:r>
          </w:p>
        </w:tc>
        <w:tc>
          <w:tcPr>
            <w:tcW w:w="993" w:type="dxa"/>
            <w:tcBorders>
              <w:top w:val="nil"/>
              <w:left w:val="nil"/>
              <w:bottom w:val="single" w:sz="8" w:space="0" w:color="auto"/>
              <w:right w:val="single" w:sz="4" w:space="0" w:color="auto"/>
            </w:tcBorders>
            <w:shd w:val="clear" w:color="auto" w:fill="auto"/>
            <w:noWrap/>
            <w:vAlign w:val="center"/>
            <w:hideMark/>
          </w:tcPr>
          <w:p w14:paraId="5D97B347" w14:textId="77777777" w:rsidR="003B3DBD" w:rsidRPr="003B3DBD" w:rsidRDefault="003B3DBD" w:rsidP="003B3DBD">
            <w:pPr>
              <w:spacing w:after="0" w:line="240" w:lineRule="auto"/>
              <w:jc w:val="right"/>
              <w:rPr>
                <w:rFonts w:ascii="Calibri" w:eastAsia="Times New Roman" w:hAnsi="Calibri" w:cs="Calibri"/>
                <w:color w:val="000000"/>
              </w:rPr>
            </w:pPr>
            <w:r w:rsidRPr="003B3DBD">
              <w:rPr>
                <w:rFonts w:ascii="Calibri" w:eastAsia="Times New Roman" w:hAnsi="Calibri" w:cs="Calibri"/>
                <w:color w:val="000000"/>
              </w:rPr>
              <w:t>968</w:t>
            </w:r>
          </w:p>
        </w:tc>
        <w:tc>
          <w:tcPr>
            <w:tcW w:w="993" w:type="dxa"/>
            <w:tcBorders>
              <w:top w:val="nil"/>
              <w:left w:val="nil"/>
              <w:bottom w:val="single" w:sz="8" w:space="0" w:color="auto"/>
              <w:right w:val="single" w:sz="4" w:space="0" w:color="auto"/>
            </w:tcBorders>
            <w:shd w:val="clear" w:color="auto" w:fill="auto"/>
            <w:noWrap/>
            <w:vAlign w:val="bottom"/>
            <w:hideMark/>
          </w:tcPr>
          <w:p w14:paraId="1FC5816A" w14:textId="77777777" w:rsidR="003B3DBD" w:rsidRPr="003B3DBD" w:rsidRDefault="003B3DBD" w:rsidP="003B3DBD">
            <w:pPr>
              <w:spacing w:after="0" w:line="240" w:lineRule="auto"/>
              <w:jc w:val="right"/>
              <w:rPr>
                <w:rFonts w:ascii="Calibri" w:eastAsia="Times New Roman" w:hAnsi="Calibri" w:cs="Calibri"/>
                <w:color w:val="000000"/>
              </w:rPr>
            </w:pPr>
            <w:r w:rsidRPr="003B3DBD">
              <w:rPr>
                <w:rFonts w:ascii="Calibri" w:eastAsia="Times New Roman" w:hAnsi="Calibri" w:cs="Calibri"/>
                <w:color w:val="000000"/>
              </w:rPr>
              <w:t>889</w:t>
            </w:r>
          </w:p>
        </w:tc>
        <w:tc>
          <w:tcPr>
            <w:tcW w:w="993" w:type="dxa"/>
            <w:tcBorders>
              <w:top w:val="nil"/>
              <w:left w:val="nil"/>
              <w:bottom w:val="single" w:sz="8" w:space="0" w:color="auto"/>
              <w:right w:val="single" w:sz="4" w:space="0" w:color="auto"/>
            </w:tcBorders>
            <w:shd w:val="clear" w:color="auto" w:fill="auto"/>
            <w:noWrap/>
            <w:vAlign w:val="center"/>
            <w:hideMark/>
          </w:tcPr>
          <w:p w14:paraId="77027215" w14:textId="77777777" w:rsidR="003B3DBD" w:rsidRPr="003B3DBD" w:rsidRDefault="003B3DBD" w:rsidP="003B3DBD">
            <w:pPr>
              <w:spacing w:after="0" w:line="240" w:lineRule="auto"/>
              <w:jc w:val="right"/>
              <w:rPr>
                <w:rFonts w:ascii="Calibri" w:eastAsia="Times New Roman" w:hAnsi="Calibri" w:cs="Calibri"/>
                <w:color w:val="000000"/>
              </w:rPr>
            </w:pPr>
            <w:r w:rsidRPr="003B3DBD">
              <w:rPr>
                <w:rFonts w:ascii="Calibri" w:eastAsia="Times New Roman" w:hAnsi="Calibri" w:cs="Calibri"/>
                <w:color w:val="000000"/>
              </w:rPr>
              <w:t>862</w:t>
            </w:r>
          </w:p>
        </w:tc>
        <w:tc>
          <w:tcPr>
            <w:tcW w:w="993" w:type="dxa"/>
            <w:tcBorders>
              <w:top w:val="nil"/>
              <w:left w:val="nil"/>
              <w:bottom w:val="single" w:sz="8" w:space="0" w:color="auto"/>
              <w:right w:val="single" w:sz="4" w:space="0" w:color="auto"/>
            </w:tcBorders>
            <w:shd w:val="clear" w:color="auto" w:fill="auto"/>
            <w:noWrap/>
            <w:vAlign w:val="center"/>
            <w:hideMark/>
          </w:tcPr>
          <w:p w14:paraId="33DF80C6" w14:textId="77777777" w:rsidR="003B3DBD" w:rsidRPr="003B3DBD" w:rsidRDefault="003B3DBD" w:rsidP="003B3DBD">
            <w:pPr>
              <w:spacing w:after="0" w:line="240" w:lineRule="auto"/>
              <w:jc w:val="right"/>
              <w:rPr>
                <w:rFonts w:ascii="Calibri" w:eastAsia="Times New Roman" w:hAnsi="Calibri" w:cs="Calibri"/>
                <w:color w:val="000000"/>
              </w:rPr>
            </w:pPr>
            <w:r w:rsidRPr="003B3DBD">
              <w:rPr>
                <w:rFonts w:ascii="Calibri" w:eastAsia="Times New Roman" w:hAnsi="Calibri" w:cs="Calibri"/>
                <w:color w:val="000000"/>
              </w:rPr>
              <w:t>779</w:t>
            </w:r>
          </w:p>
        </w:tc>
        <w:tc>
          <w:tcPr>
            <w:tcW w:w="993" w:type="dxa"/>
            <w:tcBorders>
              <w:top w:val="nil"/>
              <w:left w:val="nil"/>
              <w:bottom w:val="single" w:sz="8" w:space="0" w:color="auto"/>
              <w:right w:val="single" w:sz="4" w:space="0" w:color="auto"/>
            </w:tcBorders>
            <w:shd w:val="clear" w:color="auto" w:fill="auto"/>
            <w:noWrap/>
            <w:vAlign w:val="center"/>
            <w:hideMark/>
          </w:tcPr>
          <w:p w14:paraId="205BEA33" w14:textId="77777777" w:rsidR="003B3DBD" w:rsidRPr="003B3DBD" w:rsidRDefault="003B3DBD" w:rsidP="003B3DBD">
            <w:pPr>
              <w:spacing w:after="0" w:line="240" w:lineRule="auto"/>
              <w:jc w:val="right"/>
              <w:rPr>
                <w:rFonts w:ascii="Calibri" w:eastAsia="Times New Roman" w:hAnsi="Calibri" w:cs="Calibri"/>
                <w:color w:val="000000"/>
              </w:rPr>
            </w:pPr>
            <w:r w:rsidRPr="003B3DBD">
              <w:rPr>
                <w:rFonts w:ascii="Calibri" w:eastAsia="Times New Roman" w:hAnsi="Calibri" w:cs="Calibri"/>
                <w:color w:val="000000"/>
              </w:rPr>
              <w:t>845</w:t>
            </w:r>
          </w:p>
        </w:tc>
        <w:tc>
          <w:tcPr>
            <w:tcW w:w="993" w:type="dxa"/>
            <w:tcBorders>
              <w:top w:val="nil"/>
              <w:left w:val="nil"/>
              <w:bottom w:val="single" w:sz="8" w:space="0" w:color="auto"/>
              <w:right w:val="single" w:sz="8" w:space="0" w:color="auto"/>
            </w:tcBorders>
            <w:shd w:val="clear" w:color="auto" w:fill="auto"/>
            <w:noWrap/>
            <w:vAlign w:val="bottom"/>
            <w:hideMark/>
          </w:tcPr>
          <w:p w14:paraId="013457D6" w14:textId="77777777" w:rsidR="003B3DBD" w:rsidRPr="003B3DBD" w:rsidRDefault="003B3DBD" w:rsidP="003B3DBD">
            <w:pPr>
              <w:spacing w:after="0" w:line="240" w:lineRule="auto"/>
              <w:jc w:val="right"/>
              <w:rPr>
                <w:rFonts w:ascii="Calibri" w:eastAsia="Times New Roman" w:hAnsi="Calibri" w:cs="Calibri"/>
                <w:color w:val="000000"/>
              </w:rPr>
            </w:pPr>
            <w:r w:rsidRPr="003B3DBD">
              <w:rPr>
                <w:rFonts w:ascii="Calibri" w:eastAsia="Times New Roman" w:hAnsi="Calibri" w:cs="Calibri"/>
                <w:color w:val="000000"/>
              </w:rPr>
              <w:t>955</w:t>
            </w:r>
          </w:p>
        </w:tc>
      </w:tr>
    </w:tbl>
    <w:p w14:paraId="2219823C" w14:textId="68D7CCE3" w:rsidR="003B3DBD" w:rsidRDefault="003B3DBD" w:rsidP="00787C9F">
      <w:pPr>
        <w:rPr>
          <w:rFonts w:asciiTheme="majorHAnsi" w:eastAsiaTheme="majorEastAsia" w:hAnsiTheme="majorHAnsi" w:cstheme="majorBidi"/>
          <w:color w:val="2E74B5" w:themeColor="accent1" w:themeShade="BF"/>
          <w:sz w:val="32"/>
          <w:szCs w:val="32"/>
        </w:rPr>
      </w:pPr>
    </w:p>
    <w:tbl>
      <w:tblPr>
        <w:tblW w:w="9601" w:type="dxa"/>
        <w:tblLook w:val="04A0" w:firstRow="1" w:lastRow="0" w:firstColumn="1" w:lastColumn="0" w:noHBand="0" w:noVBand="1"/>
      </w:tblPr>
      <w:tblGrid>
        <w:gridCol w:w="628"/>
        <w:gridCol w:w="997"/>
        <w:gridCol w:w="997"/>
        <w:gridCol w:w="997"/>
        <w:gridCol w:w="997"/>
        <w:gridCol w:w="997"/>
        <w:gridCol w:w="997"/>
        <w:gridCol w:w="997"/>
        <w:gridCol w:w="997"/>
        <w:gridCol w:w="997"/>
      </w:tblGrid>
      <w:tr w:rsidR="00670F19" w:rsidRPr="00670F19" w14:paraId="4DF86190" w14:textId="77777777" w:rsidTr="00670F19">
        <w:trPr>
          <w:trHeight w:val="380"/>
        </w:trPr>
        <w:tc>
          <w:tcPr>
            <w:tcW w:w="9601" w:type="dxa"/>
            <w:gridSpan w:val="10"/>
            <w:tcBorders>
              <w:top w:val="single" w:sz="8" w:space="0" w:color="auto"/>
              <w:left w:val="single" w:sz="8" w:space="0" w:color="auto"/>
              <w:bottom w:val="single" w:sz="8" w:space="0" w:color="auto"/>
              <w:right w:val="single" w:sz="12" w:space="0" w:color="000000"/>
            </w:tcBorders>
            <w:shd w:val="clear" w:color="auto" w:fill="auto"/>
            <w:noWrap/>
            <w:vAlign w:val="center"/>
            <w:hideMark/>
          </w:tcPr>
          <w:p w14:paraId="3C095B17" w14:textId="77777777" w:rsidR="00670F19" w:rsidRPr="00670F19" w:rsidRDefault="00670F19" w:rsidP="00670F19">
            <w:pPr>
              <w:spacing w:after="0" w:line="240" w:lineRule="auto"/>
              <w:jc w:val="center"/>
              <w:rPr>
                <w:rFonts w:ascii="Calibri" w:eastAsia="Times New Roman" w:hAnsi="Calibri" w:cs="Calibri"/>
                <w:b/>
                <w:bCs/>
                <w:color w:val="000000"/>
                <w:sz w:val="28"/>
                <w:szCs w:val="28"/>
              </w:rPr>
            </w:pPr>
            <w:r w:rsidRPr="00670F19">
              <w:rPr>
                <w:rFonts w:ascii="Calibri" w:eastAsia="Times New Roman" w:hAnsi="Calibri" w:cs="Calibri"/>
                <w:b/>
                <w:bCs/>
                <w:color w:val="000000"/>
                <w:sz w:val="28"/>
                <w:szCs w:val="28"/>
              </w:rPr>
              <w:t>Fall CHEM 1212 Grades</w:t>
            </w:r>
          </w:p>
        </w:tc>
      </w:tr>
      <w:tr w:rsidR="00670F19" w:rsidRPr="00670F19" w14:paraId="57C6D78B" w14:textId="77777777" w:rsidTr="00670F19">
        <w:trPr>
          <w:trHeight w:val="300"/>
        </w:trPr>
        <w:tc>
          <w:tcPr>
            <w:tcW w:w="628" w:type="dxa"/>
            <w:tcBorders>
              <w:top w:val="nil"/>
              <w:left w:val="single" w:sz="8" w:space="0" w:color="auto"/>
              <w:bottom w:val="single" w:sz="8" w:space="0" w:color="auto"/>
              <w:right w:val="single" w:sz="4" w:space="0" w:color="auto"/>
            </w:tcBorders>
            <w:shd w:val="clear" w:color="auto" w:fill="auto"/>
            <w:noWrap/>
            <w:vAlign w:val="center"/>
            <w:hideMark/>
          </w:tcPr>
          <w:p w14:paraId="4CC3B3D8"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 </w:t>
            </w:r>
          </w:p>
        </w:tc>
        <w:tc>
          <w:tcPr>
            <w:tcW w:w="997" w:type="dxa"/>
            <w:tcBorders>
              <w:top w:val="nil"/>
              <w:left w:val="nil"/>
              <w:bottom w:val="single" w:sz="8" w:space="0" w:color="auto"/>
              <w:right w:val="single" w:sz="4" w:space="0" w:color="auto"/>
            </w:tcBorders>
            <w:shd w:val="clear" w:color="auto" w:fill="auto"/>
            <w:noWrap/>
            <w:vAlign w:val="center"/>
            <w:hideMark/>
          </w:tcPr>
          <w:p w14:paraId="0AD739D7"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F 2014</w:t>
            </w:r>
          </w:p>
        </w:tc>
        <w:tc>
          <w:tcPr>
            <w:tcW w:w="997" w:type="dxa"/>
            <w:tcBorders>
              <w:top w:val="nil"/>
              <w:left w:val="nil"/>
              <w:bottom w:val="single" w:sz="8" w:space="0" w:color="auto"/>
              <w:right w:val="single" w:sz="4" w:space="0" w:color="auto"/>
            </w:tcBorders>
            <w:shd w:val="clear" w:color="auto" w:fill="auto"/>
            <w:noWrap/>
            <w:vAlign w:val="center"/>
            <w:hideMark/>
          </w:tcPr>
          <w:p w14:paraId="7DD2B4CF"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F 2015</w:t>
            </w:r>
          </w:p>
        </w:tc>
        <w:tc>
          <w:tcPr>
            <w:tcW w:w="997" w:type="dxa"/>
            <w:tcBorders>
              <w:top w:val="nil"/>
              <w:left w:val="nil"/>
              <w:bottom w:val="single" w:sz="8" w:space="0" w:color="auto"/>
              <w:right w:val="single" w:sz="4" w:space="0" w:color="auto"/>
            </w:tcBorders>
            <w:shd w:val="clear" w:color="auto" w:fill="auto"/>
            <w:noWrap/>
            <w:vAlign w:val="center"/>
            <w:hideMark/>
          </w:tcPr>
          <w:p w14:paraId="176F62E3"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F 2016</w:t>
            </w:r>
          </w:p>
        </w:tc>
        <w:tc>
          <w:tcPr>
            <w:tcW w:w="997" w:type="dxa"/>
            <w:tcBorders>
              <w:top w:val="nil"/>
              <w:left w:val="nil"/>
              <w:bottom w:val="single" w:sz="8" w:space="0" w:color="auto"/>
              <w:right w:val="single" w:sz="4" w:space="0" w:color="auto"/>
            </w:tcBorders>
            <w:shd w:val="clear" w:color="auto" w:fill="auto"/>
            <w:noWrap/>
            <w:vAlign w:val="center"/>
            <w:hideMark/>
          </w:tcPr>
          <w:p w14:paraId="27315158"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F 2017</w:t>
            </w:r>
          </w:p>
        </w:tc>
        <w:tc>
          <w:tcPr>
            <w:tcW w:w="997" w:type="dxa"/>
            <w:tcBorders>
              <w:top w:val="nil"/>
              <w:left w:val="nil"/>
              <w:bottom w:val="single" w:sz="8" w:space="0" w:color="auto"/>
              <w:right w:val="single" w:sz="4" w:space="0" w:color="auto"/>
            </w:tcBorders>
            <w:shd w:val="clear" w:color="auto" w:fill="auto"/>
            <w:noWrap/>
            <w:vAlign w:val="center"/>
            <w:hideMark/>
          </w:tcPr>
          <w:p w14:paraId="2A0A5D42"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F 2018</w:t>
            </w:r>
          </w:p>
        </w:tc>
        <w:tc>
          <w:tcPr>
            <w:tcW w:w="997" w:type="dxa"/>
            <w:tcBorders>
              <w:top w:val="nil"/>
              <w:left w:val="nil"/>
              <w:bottom w:val="single" w:sz="8" w:space="0" w:color="auto"/>
              <w:right w:val="single" w:sz="4" w:space="0" w:color="auto"/>
            </w:tcBorders>
            <w:shd w:val="clear" w:color="auto" w:fill="auto"/>
            <w:noWrap/>
            <w:vAlign w:val="center"/>
            <w:hideMark/>
          </w:tcPr>
          <w:p w14:paraId="6AA880F8"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F 2019</w:t>
            </w:r>
          </w:p>
        </w:tc>
        <w:tc>
          <w:tcPr>
            <w:tcW w:w="997" w:type="dxa"/>
            <w:tcBorders>
              <w:top w:val="nil"/>
              <w:left w:val="nil"/>
              <w:bottom w:val="single" w:sz="8" w:space="0" w:color="auto"/>
              <w:right w:val="single" w:sz="4" w:space="0" w:color="auto"/>
            </w:tcBorders>
            <w:shd w:val="clear" w:color="auto" w:fill="auto"/>
            <w:noWrap/>
            <w:vAlign w:val="center"/>
            <w:hideMark/>
          </w:tcPr>
          <w:p w14:paraId="5D689BAF"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F 2020</w:t>
            </w:r>
          </w:p>
        </w:tc>
        <w:tc>
          <w:tcPr>
            <w:tcW w:w="997" w:type="dxa"/>
            <w:tcBorders>
              <w:top w:val="nil"/>
              <w:left w:val="nil"/>
              <w:bottom w:val="single" w:sz="8" w:space="0" w:color="auto"/>
              <w:right w:val="single" w:sz="4" w:space="0" w:color="auto"/>
            </w:tcBorders>
            <w:shd w:val="clear" w:color="auto" w:fill="auto"/>
            <w:noWrap/>
            <w:vAlign w:val="center"/>
            <w:hideMark/>
          </w:tcPr>
          <w:p w14:paraId="11297081"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F 2021</w:t>
            </w:r>
          </w:p>
        </w:tc>
        <w:tc>
          <w:tcPr>
            <w:tcW w:w="997" w:type="dxa"/>
            <w:tcBorders>
              <w:top w:val="nil"/>
              <w:left w:val="nil"/>
              <w:bottom w:val="single" w:sz="8" w:space="0" w:color="auto"/>
              <w:right w:val="single" w:sz="12" w:space="0" w:color="auto"/>
            </w:tcBorders>
            <w:shd w:val="clear" w:color="auto" w:fill="auto"/>
            <w:noWrap/>
            <w:vAlign w:val="center"/>
            <w:hideMark/>
          </w:tcPr>
          <w:p w14:paraId="7DCDB5DD"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F 2022</w:t>
            </w:r>
          </w:p>
        </w:tc>
      </w:tr>
      <w:tr w:rsidR="00670F19" w:rsidRPr="00670F19" w14:paraId="6E03242F" w14:textId="77777777" w:rsidTr="00670F19">
        <w:trPr>
          <w:trHeight w:val="290"/>
        </w:trPr>
        <w:tc>
          <w:tcPr>
            <w:tcW w:w="628" w:type="dxa"/>
            <w:tcBorders>
              <w:top w:val="nil"/>
              <w:left w:val="single" w:sz="8" w:space="0" w:color="auto"/>
              <w:bottom w:val="single" w:sz="4" w:space="0" w:color="auto"/>
              <w:right w:val="single" w:sz="4" w:space="0" w:color="auto"/>
            </w:tcBorders>
            <w:shd w:val="clear" w:color="auto" w:fill="auto"/>
            <w:noWrap/>
            <w:vAlign w:val="center"/>
            <w:hideMark/>
          </w:tcPr>
          <w:p w14:paraId="0247DDDF"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ABC</w:t>
            </w:r>
          </w:p>
        </w:tc>
        <w:tc>
          <w:tcPr>
            <w:tcW w:w="997" w:type="dxa"/>
            <w:tcBorders>
              <w:top w:val="nil"/>
              <w:left w:val="nil"/>
              <w:bottom w:val="single" w:sz="4" w:space="0" w:color="auto"/>
              <w:right w:val="single" w:sz="4" w:space="0" w:color="auto"/>
            </w:tcBorders>
            <w:shd w:val="clear" w:color="auto" w:fill="auto"/>
            <w:noWrap/>
            <w:vAlign w:val="center"/>
            <w:hideMark/>
          </w:tcPr>
          <w:p w14:paraId="1A17567B"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58.3%</w:t>
            </w:r>
          </w:p>
        </w:tc>
        <w:tc>
          <w:tcPr>
            <w:tcW w:w="997" w:type="dxa"/>
            <w:tcBorders>
              <w:top w:val="nil"/>
              <w:left w:val="nil"/>
              <w:bottom w:val="single" w:sz="4" w:space="0" w:color="auto"/>
              <w:right w:val="single" w:sz="4" w:space="0" w:color="auto"/>
            </w:tcBorders>
            <w:shd w:val="clear" w:color="auto" w:fill="auto"/>
            <w:noWrap/>
            <w:vAlign w:val="center"/>
            <w:hideMark/>
          </w:tcPr>
          <w:p w14:paraId="0C5D7572"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62.7%</w:t>
            </w:r>
          </w:p>
        </w:tc>
        <w:tc>
          <w:tcPr>
            <w:tcW w:w="997" w:type="dxa"/>
            <w:tcBorders>
              <w:top w:val="nil"/>
              <w:left w:val="nil"/>
              <w:bottom w:val="single" w:sz="4" w:space="0" w:color="auto"/>
              <w:right w:val="single" w:sz="4" w:space="0" w:color="auto"/>
            </w:tcBorders>
            <w:shd w:val="clear" w:color="auto" w:fill="auto"/>
            <w:noWrap/>
            <w:vAlign w:val="center"/>
            <w:hideMark/>
          </w:tcPr>
          <w:p w14:paraId="786F48D6"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55.1%</w:t>
            </w:r>
          </w:p>
        </w:tc>
        <w:tc>
          <w:tcPr>
            <w:tcW w:w="997" w:type="dxa"/>
            <w:tcBorders>
              <w:top w:val="nil"/>
              <w:left w:val="nil"/>
              <w:bottom w:val="single" w:sz="4" w:space="0" w:color="auto"/>
              <w:right w:val="single" w:sz="4" w:space="0" w:color="auto"/>
            </w:tcBorders>
            <w:shd w:val="clear" w:color="auto" w:fill="auto"/>
            <w:noWrap/>
            <w:vAlign w:val="center"/>
            <w:hideMark/>
          </w:tcPr>
          <w:p w14:paraId="604A434F"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71.7%</w:t>
            </w:r>
          </w:p>
        </w:tc>
        <w:tc>
          <w:tcPr>
            <w:tcW w:w="997" w:type="dxa"/>
            <w:tcBorders>
              <w:top w:val="nil"/>
              <w:left w:val="nil"/>
              <w:bottom w:val="single" w:sz="4" w:space="0" w:color="auto"/>
              <w:right w:val="single" w:sz="4" w:space="0" w:color="auto"/>
            </w:tcBorders>
            <w:shd w:val="clear" w:color="auto" w:fill="auto"/>
            <w:noWrap/>
            <w:vAlign w:val="center"/>
            <w:hideMark/>
          </w:tcPr>
          <w:p w14:paraId="1C051A6C"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76.4%</w:t>
            </w:r>
          </w:p>
        </w:tc>
        <w:tc>
          <w:tcPr>
            <w:tcW w:w="997" w:type="dxa"/>
            <w:tcBorders>
              <w:top w:val="nil"/>
              <w:left w:val="nil"/>
              <w:bottom w:val="single" w:sz="4" w:space="0" w:color="auto"/>
              <w:right w:val="single" w:sz="4" w:space="0" w:color="auto"/>
            </w:tcBorders>
            <w:shd w:val="clear" w:color="auto" w:fill="auto"/>
            <w:noWrap/>
            <w:vAlign w:val="center"/>
            <w:hideMark/>
          </w:tcPr>
          <w:p w14:paraId="0AD36A38"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80.9%</w:t>
            </w:r>
          </w:p>
        </w:tc>
        <w:tc>
          <w:tcPr>
            <w:tcW w:w="997" w:type="dxa"/>
            <w:tcBorders>
              <w:top w:val="nil"/>
              <w:left w:val="nil"/>
              <w:bottom w:val="single" w:sz="4" w:space="0" w:color="auto"/>
              <w:right w:val="single" w:sz="4" w:space="0" w:color="auto"/>
            </w:tcBorders>
            <w:shd w:val="clear" w:color="auto" w:fill="auto"/>
            <w:noWrap/>
            <w:vAlign w:val="center"/>
            <w:hideMark/>
          </w:tcPr>
          <w:p w14:paraId="6B9E96AC"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86.3%</w:t>
            </w:r>
          </w:p>
        </w:tc>
        <w:tc>
          <w:tcPr>
            <w:tcW w:w="997" w:type="dxa"/>
            <w:tcBorders>
              <w:top w:val="nil"/>
              <w:left w:val="nil"/>
              <w:bottom w:val="single" w:sz="4" w:space="0" w:color="auto"/>
              <w:right w:val="single" w:sz="4" w:space="0" w:color="auto"/>
            </w:tcBorders>
            <w:shd w:val="clear" w:color="auto" w:fill="auto"/>
            <w:noWrap/>
            <w:vAlign w:val="center"/>
            <w:hideMark/>
          </w:tcPr>
          <w:p w14:paraId="3E072465"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82.1%</w:t>
            </w:r>
          </w:p>
        </w:tc>
        <w:tc>
          <w:tcPr>
            <w:tcW w:w="997" w:type="dxa"/>
            <w:tcBorders>
              <w:top w:val="nil"/>
              <w:left w:val="nil"/>
              <w:bottom w:val="single" w:sz="4" w:space="0" w:color="auto"/>
              <w:right w:val="single" w:sz="12" w:space="0" w:color="auto"/>
            </w:tcBorders>
            <w:shd w:val="clear" w:color="auto" w:fill="auto"/>
            <w:noWrap/>
            <w:vAlign w:val="center"/>
            <w:hideMark/>
          </w:tcPr>
          <w:p w14:paraId="330BFD5A"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78.5%</w:t>
            </w:r>
          </w:p>
        </w:tc>
      </w:tr>
      <w:tr w:rsidR="00670F19" w:rsidRPr="00670F19" w14:paraId="6EE738D2" w14:textId="77777777" w:rsidTr="00670F19">
        <w:trPr>
          <w:trHeight w:val="290"/>
        </w:trPr>
        <w:tc>
          <w:tcPr>
            <w:tcW w:w="628" w:type="dxa"/>
            <w:tcBorders>
              <w:top w:val="nil"/>
              <w:left w:val="single" w:sz="8" w:space="0" w:color="auto"/>
              <w:bottom w:val="single" w:sz="4" w:space="0" w:color="auto"/>
              <w:right w:val="single" w:sz="4" w:space="0" w:color="auto"/>
            </w:tcBorders>
            <w:shd w:val="clear" w:color="auto" w:fill="auto"/>
            <w:noWrap/>
            <w:vAlign w:val="center"/>
            <w:hideMark/>
          </w:tcPr>
          <w:p w14:paraId="09900BA6"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DF</w:t>
            </w:r>
          </w:p>
        </w:tc>
        <w:tc>
          <w:tcPr>
            <w:tcW w:w="997" w:type="dxa"/>
            <w:tcBorders>
              <w:top w:val="nil"/>
              <w:left w:val="nil"/>
              <w:bottom w:val="single" w:sz="4" w:space="0" w:color="auto"/>
              <w:right w:val="single" w:sz="4" w:space="0" w:color="auto"/>
            </w:tcBorders>
            <w:shd w:val="clear" w:color="auto" w:fill="auto"/>
            <w:noWrap/>
            <w:vAlign w:val="center"/>
            <w:hideMark/>
          </w:tcPr>
          <w:p w14:paraId="761B9A6C"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11.7%</w:t>
            </w:r>
          </w:p>
        </w:tc>
        <w:tc>
          <w:tcPr>
            <w:tcW w:w="997" w:type="dxa"/>
            <w:tcBorders>
              <w:top w:val="nil"/>
              <w:left w:val="nil"/>
              <w:bottom w:val="single" w:sz="4" w:space="0" w:color="auto"/>
              <w:right w:val="single" w:sz="4" w:space="0" w:color="auto"/>
            </w:tcBorders>
            <w:shd w:val="clear" w:color="auto" w:fill="auto"/>
            <w:noWrap/>
            <w:vAlign w:val="center"/>
            <w:hideMark/>
          </w:tcPr>
          <w:p w14:paraId="1C000724"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9.7%</w:t>
            </w:r>
          </w:p>
        </w:tc>
        <w:tc>
          <w:tcPr>
            <w:tcW w:w="997" w:type="dxa"/>
            <w:tcBorders>
              <w:top w:val="nil"/>
              <w:left w:val="nil"/>
              <w:bottom w:val="single" w:sz="4" w:space="0" w:color="auto"/>
              <w:right w:val="single" w:sz="4" w:space="0" w:color="auto"/>
            </w:tcBorders>
            <w:shd w:val="clear" w:color="auto" w:fill="auto"/>
            <w:noWrap/>
            <w:vAlign w:val="center"/>
            <w:hideMark/>
          </w:tcPr>
          <w:p w14:paraId="481EA4C1"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15.7%</w:t>
            </w:r>
          </w:p>
        </w:tc>
        <w:tc>
          <w:tcPr>
            <w:tcW w:w="997" w:type="dxa"/>
            <w:tcBorders>
              <w:top w:val="nil"/>
              <w:left w:val="nil"/>
              <w:bottom w:val="single" w:sz="4" w:space="0" w:color="auto"/>
              <w:right w:val="single" w:sz="4" w:space="0" w:color="auto"/>
            </w:tcBorders>
            <w:shd w:val="clear" w:color="auto" w:fill="auto"/>
            <w:noWrap/>
            <w:vAlign w:val="center"/>
            <w:hideMark/>
          </w:tcPr>
          <w:p w14:paraId="5AA34E30"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13.0%</w:t>
            </w:r>
          </w:p>
        </w:tc>
        <w:tc>
          <w:tcPr>
            <w:tcW w:w="997" w:type="dxa"/>
            <w:tcBorders>
              <w:top w:val="nil"/>
              <w:left w:val="nil"/>
              <w:bottom w:val="single" w:sz="4" w:space="0" w:color="auto"/>
              <w:right w:val="single" w:sz="4" w:space="0" w:color="auto"/>
            </w:tcBorders>
            <w:shd w:val="clear" w:color="auto" w:fill="auto"/>
            <w:noWrap/>
            <w:vAlign w:val="center"/>
            <w:hideMark/>
          </w:tcPr>
          <w:p w14:paraId="45FB6B9E"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7.8%</w:t>
            </w:r>
          </w:p>
        </w:tc>
        <w:tc>
          <w:tcPr>
            <w:tcW w:w="997" w:type="dxa"/>
            <w:tcBorders>
              <w:top w:val="nil"/>
              <w:left w:val="nil"/>
              <w:bottom w:val="single" w:sz="4" w:space="0" w:color="auto"/>
              <w:right w:val="single" w:sz="4" w:space="0" w:color="auto"/>
            </w:tcBorders>
            <w:shd w:val="clear" w:color="auto" w:fill="auto"/>
            <w:noWrap/>
            <w:vAlign w:val="center"/>
            <w:hideMark/>
          </w:tcPr>
          <w:p w14:paraId="595C609E"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7.4%</w:t>
            </w:r>
          </w:p>
        </w:tc>
        <w:tc>
          <w:tcPr>
            <w:tcW w:w="997" w:type="dxa"/>
            <w:tcBorders>
              <w:top w:val="nil"/>
              <w:left w:val="nil"/>
              <w:bottom w:val="single" w:sz="4" w:space="0" w:color="auto"/>
              <w:right w:val="single" w:sz="4" w:space="0" w:color="auto"/>
            </w:tcBorders>
            <w:shd w:val="clear" w:color="auto" w:fill="auto"/>
            <w:noWrap/>
            <w:vAlign w:val="center"/>
            <w:hideMark/>
          </w:tcPr>
          <w:p w14:paraId="47F36D88"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9.0%</w:t>
            </w:r>
          </w:p>
        </w:tc>
        <w:tc>
          <w:tcPr>
            <w:tcW w:w="997" w:type="dxa"/>
            <w:tcBorders>
              <w:top w:val="nil"/>
              <w:left w:val="nil"/>
              <w:bottom w:val="single" w:sz="4" w:space="0" w:color="auto"/>
              <w:right w:val="single" w:sz="4" w:space="0" w:color="auto"/>
            </w:tcBorders>
            <w:shd w:val="clear" w:color="auto" w:fill="auto"/>
            <w:noWrap/>
            <w:vAlign w:val="center"/>
            <w:hideMark/>
          </w:tcPr>
          <w:p w14:paraId="60BDD5F8"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7.1%</w:t>
            </w:r>
          </w:p>
        </w:tc>
        <w:tc>
          <w:tcPr>
            <w:tcW w:w="997" w:type="dxa"/>
            <w:tcBorders>
              <w:top w:val="nil"/>
              <w:left w:val="nil"/>
              <w:bottom w:val="single" w:sz="4" w:space="0" w:color="auto"/>
              <w:right w:val="single" w:sz="12" w:space="0" w:color="auto"/>
            </w:tcBorders>
            <w:shd w:val="clear" w:color="auto" w:fill="auto"/>
            <w:noWrap/>
            <w:vAlign w:val="center"/>
            <w:hideMark/>
          </w:tcPr>
          <w:p w14:paraId="6DC66395"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15.6%</w:t>
            </w:r>
          </w:p>
        </w:tc>
      </w:tr>
      <w:tr w:rsidR="00670F19" w:rsidRPr="00670F19" w14:paraId="743FB6A2" w14:textId="77777777" w:rsidTr="00670F19">
        <w:trPr>
          <w:trHeight w:val="290"/>
        </w:trPr>
        <w:tc>
          <w:tcPr>
            <w:tcW w:w="628" w:type="dxa"/>
            <w:tcBorders>
              <w:top w:val="nil"/>
              <w:left w:val="single" w:sz="8" w:space="0" w:color="auto"/>
              <w:bottom w:val="single" w:sz="4" w:space="0" w:color="auto"/>
              <w:right w:val="single" w:sz="4" w:space="0" w:color="auto"/>
            </w:tcBorders>
            <w:shd w:val="clear" w:color="auto" w:fill="auto"/>
            <w:noWrap/>
            <w:vAlign w:val="center"/>
            <w:hideMark/>
          </w:tcPr>
          <w:p w14:paraId="377BCD7F"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W</w:t>
            </w:r>
          </w:p>
        </w:tc>
        <w:tc>
          <w:tcPr>
            <w:tcW w:w="997" w:type="dxa"/>
            <w:tcBorders>
              <w:top w:val="nil"/>
              <w:left w:val="nil"/>
              <w:bottom w:val="single" w:sz="4" w:space="0" w:color="auto"/>
              <w:right w:val="single" w:sz="4" w:space="0" w:color="auto"/>
            </w:tcBorders>
            <w:shd w:val="clear" w:color="auto" w:fill="auto"/>
            <w:noWrap/>
            <w:vAlign w:val="center"/>
            <w:hideMark/>
          </w:tcPr>
          <w:p w14:paraId="238748B2"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30.1%</w:t>
            </w:r>
          </w:p>
        </w:tc>
        <w:tc>
          <w:tcPr>
            <w:tcW w:w="997" w:type="dxa"/>
            <w:tcBorders>
              <w:top w:val="nil"/>
              <w:left w:val="nil"/>
              <w:bottom w:val="single" w:sz="4" w:space="0" w:color="auto"/>
              <w:right w:val="single" w:sz="4" w:space="0" w:color="auto"/>
            </w:tcBorders>
            <w:shd w:val="clear" w:color="auto" w:fill="auto"/>
            <w:noWrap/>
            <w:vAlign w:val="center"/>
            <w:hideMark/>
          </w:tcPr>
          <w:p w14:paraId="17FC9A0D"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27.6%</w:t>
            </w:r>
          </w:p>
        </w:tc>
        <w:tc>
          <w:tcPr>
            <w:tcW w:w="997" w:type="dxa"/>
            <w:tcBorders>
              <w:top w:val="nil"/>
              <w:left w:val="nil"/>
              <w:bottom w:val="single" w:sz="4" w:space="0" w:color="auto"/>
              <w:right w:val="single" w:sz="4" w:space="0" w:color="auto"/>
            </w:tcBorders>
            <w:shd w:val="clear" w:color="auto" w:fill="auto"/>
            <w:noWrap/>
            <w:vAlign w:val="center"/>
            <w:hideMark/>
          </w:tcPr>
          <w:p w14:paraId="50AE9FD7"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29.2%</w:t>
            </w:r>
          </w:p>
        </w:tc>
        <w:tc>
          <w:tcPr>
            <w:tcW w:w="997" w:type="dxa"/>
            <w:tcBorders>
              <w:top w:val="nil"/>
              <w:left w:val="nil"/>
              <w:bottom w:val="single" w:sz="4" w:space="0" w:color="auto"/>
              <w:right w:val="single" w:sz="4" w:space="0" w:color="auto"/>
            </w:tcBorders>
            <w:shd w:val="clear" w:color="auto" w:fill="auto"/>
            <w:noWrap/>
            <w:vAlign w:val="center"/>
            <w:hideMark/>
          </w:tcPr>
          <w:p w14:paraId="5636E102"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15.3%</w:t>
            </w:r>
          </w:p>
        </w:tc>
        <w:tc>
          <w:tcPr>
            <w:tcW w:w="997" w:type="dxa"/>
            <w:tcBorders>
              <w:top w:val="nil"/>
              <w:left w:val="nil"/>
              <w:bottom w:val="single" w:sz="4" w:space="0" w:color="auto"/>
              <w:right w:val="single" w:sz="4" w:space="0" w:color="auto"/>
            </w:tcBorders>
            <w:shd w:val="clear" w:color="auto" w:fill="auto"/>
            <w:noWrap/>
            <w:vAlign w:val="center"/>
            <w:hideMark/>
          </w:tcPr>
          <w:p w14:paraId="1262E4C4"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15.8%</w:t>
            </w:r>
          </w:p>
        </w:tc>
        <w:tc>
          <w:tcPr>
            <w:tcW w:w="997" w:type="dxa"/>
            <w:tcBorders>
              <w:top w:val="nil"/>
              <w:left w:val="nil"/>
              <w:bottom w:val="single" w:sz="4" w:space="0" w:color="auto"/>
              <w:right w:val="single" w:sz="4" w:space="0" w:color="auto"/>
            </w:tcBorders>
            <w:shd w:val="clear" w:color="auto" w:fill="auto"/>
            <w:noWrap/>
            <w:vAlign w:val="center"/>
            <w:hideMark/>
          </w:tcPr>
          <w:p w14:paraId="76EF0146"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11.7%</w:t>
            </w:r>
          </w:p>
        </w:tc>
        <w:tc>
          <w:tcPr>
            <w:tcW w:w="997" w:type="dxa"/>
            <w:tcBorders>
              <w:top w:val="nil"/>
              <w:left w:val="nil"/>
              <w:bottom w:val="single" w:sz="4" w:space="0" w:color="auto"/>
              <w:right w:val="single" w:sz="4" w:space="0" w:color="auto"/>
            </w:tcBorders>
            <w:shd w:val="clear" w:color="auto" w:fill="auto"/>
            <w:noWrap/>
            <w:vAlign w:val="center"/>
            <w:hideMark/>
          </w:tcPr>
          <w:p w14:paraId="4A10E4F9"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4.7%</w:t>
            </w:r>
          </w:p>
        </w:tc>
        <w:tc>
          <w:tcPr>
            <w:tcW w:w="997" w:type="dxa"/>
            <w:tcBorders>
              <w:top w:val="nil"/>
              <w:left w:val="nil"/>
              <w:bottom w:val="single" w:sz="4" w:space="0" w:color="auto"/>
              <w:right w:val="single" w:sz="4" w:space="0" w:color="auto"/>
            </w:tcBorders>
            <w:shd w:val="clear" w:color="auto" w:fill="auto"/>
            <w:noWrap/>
            <w:vAlign w:val="center"/>
            <w:hideMark/>
          </w:tcPr>
          <w:p w14:paraId="052CF8C1"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9.9%</w:t>
            </w:r>
          </w:p>
        </w:tc>
        <w:tc>
          <w:tcPr>
            <w:tcW w:w="997" w:type="dxa"/>
            <w:tcBorders>
              <w:top w:val="nil"/>
              <w:left w:val="nil"/>
              <w:bottom w:val="single" w:sz="4" w:space="0" w:color="auto"/>
              <w:right w:val="single" w:sz="12" w:space="0" w:color="auto"/>
            </w:tcBorders>
            <w:shd w:val="clear" w:color="auto" w:fill="auto"/>
            <w:noWrap/>
            <w:vAlign w:val="center"/>
            <w:hideMark/>
          </w:tcPr>
          <w:p w14:paraId="294FC4DA"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6.0%</w:t>
            </w:r>
          </w:p>
        </w:tc>
      </w:tr>
      <w:tr w:rsidR="00670F19" w:rsidRPr="00670F19" w14:paraId="76231B72" w14:textId="77777777" w:rsidTr="00670F19">
        <w:trPr>
          <w:trHeight w:val="300"/>
        </w:trPr>
        <w:tc>
          <w:tcPr>
            <w:tcW w:w="628" w:type="dxa"/>
            <w:tcBorders>
              <w:top w:val="nil"/>
              <w:left w:val="single" w:sz="8" w:space="0" w:color="auto"/>
              <w:bottom w:val="single" w:sz="8" w:space="0" w:color="auto"/>
              <w:right w:val="single" w:sz="4" w:space="0" w:color="auto"/>
            </w:tcBorders>
            <w:shd w:val="clear" w:color="auto" w:fill="auto"/>
            <w:noWrap/>
            <w:vAlign w:val="center"/>
            <w:hideMark/>
          </w:tcPr>
          <w:p w14:paraId="4B4E6414"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n</w:t>
            </w:r>
          </w:p>
        </w:tc>
        <w:tc>
          <w:tcPr>
            <w:tcW w:w="997" w:type="dxa"/>
            <w:tcBorders>
              <w:top w:val="nil"/>
              <w:left w:val="nil"/>
              <w:bottom w:val="single" w:sz="8" w:space="0" w:color="auto"/>
              <w:right w:val="single" w:sz="4" w:space="0" w:color="auto"/>
            </w:tcBorders>
            <w:shd w:val="clear" w:color="auto" w:fill="auto"/>
            <w:noWrap/>
            <w:vAlign w:val="bottom"/>
            <w:hideMark/>
          </w:tcPr>
          <w:p w14:paraId="19623D97"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369</w:t>
            </w:r>
          </w:p>
        </w:tc>
        <w:tc>
          <w:tcPr>
            <w:tcW w:w="997" w:type="dxa"/>
            <w:tcBorders>
              <w:top w:val="nil"/>
              <w:left w:val="nil"/>
              <w:bottom w:val="single" w:sz="8" w:space="0" w:color="auto"/>
              <w:right w:val="single" w:sz="4" w:space="0" w:color="auto"/>
            </w:tcBorders>
            <w:shd w:val="clear" w:color="auto" w:fill="auto"/>
            <w:noWrap/>
            <w:vAlign w:val="bottom"/>
            <w:hideMark/>
          </w:tcPr>
          <w:p w14:paraId="68E19A07"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370</w:t>
            </w:r>
          </w:p>
        </w:tc>
        <w:tc>
          <w:tcPr>
            <w:tcW w:w="997" w:type="dxa"/>
            <w:tcBorders>
              <w:top w:val="nil"/>
              <w:left w:val="nil"/>
              <w:bottom w:val="single" w:sz="8" w:space="0" w:color="auto"/>
              <w:right w:val="single" w:sz="4" w:space="0" w:color="auto"/>
            </w:tcBorders>
            <w:shd w:val="clear" w:color="auto" w:fill="auto"/>
            <w:noWrap/>
            <w:vAlign w:val="bottom"/>
            <w:hideMark/>
          </w:tcPr>
          <w:p w14:paraId="31DEE605"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459</w:t>
            </w:r>
          </w:p>
        </w:tc>
        <w:tc>
          <w:tcPr>
            <w:tcW w:w="997" w:type="dxa"/>
            <w:tcBorders>
              <w:top w:val="nil"/>
              <w:left w:val="nil"/>
              <w:bottom w:val="single" w:sz="8" w:space="0" w:color="auto"/>
              <w:right w:val="single" w:sz="4" w:space="0" w:color="auto"/>
            </w:tcBorders>
            <w:shd w:val="clear" w:color="auto" w:fill="auto"/>
            <w:noWrap/>
            <w:vAlign w:val="bottom"/>
            <w:hideMark/>
          </w:tcPr>
          <w:p w14:paraId="4F2B21BC"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594</w:t>
            </w:r>
          </w:p>
        </w:tc>
        <w:tc>
          <w:tcPr>
            <w:tcW w:w="997" w:type="dxa"/>
            <w:tcBorders>
              <w:top w:val="nil"/>
              <w:left w:val="nil"/>
              <w:bottom w:val="single" w:sz="8" w:space="0" w:color="auto"/>
              <w:right w:val="single" w:sz="4" w:space="0" w:color="auto"/>
            </w:tcBorders>
            <w:shd w:val="clear" w:color="auto" w:fill="auto"/>
            <w:noWrap/>
            <w:vAlign w:val="bottom"/>
            <w:hideMark/>
          </w:tcPr>
          <w:p w14:paraId="44BA13EB"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703</w:t>
            </w:r>
          </w:p>
        </w:tc>
        <w:tc>
          <w:tcPr>
            <w:tcW w:w="997" w:type="dxa"/>
            <w:tcBorders>
              <w:top w:val="nil"/>
              <w:left w:val="nil"/>
              <w:bottom w:val="single" w:sz="8" w:space="0" w:color="auto"/>
              <w:right w:val="single" w:sz="4" w:space="0" w:color="auto"/>
            </w:tcBorders>
            <w:shd w:val="clear" w:color="auto" w:fill="auto"/>
            <w:noWrap/>
            <w:vAlign w:val="bottom"/>
            <w:hideMark/>
          </w:tcPr>
          <w:p w14:paraId="319B0A6B"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676</w:t>
            </w:r>
          </w:p>
        </w:tc>
        <w:tc>
          <w:tcPr>
            <w:tcW w:w="997" w:type="dxa"/>
            <w:tcBorders>
              <w:top w:val="nil"/>
              <w:left w:val="nil"/>
              <w:bottom w:val="single" w:sz="8" w:space="0" w:color="auto"/>
              <w:right w:val="single" w:sz="4" w:space="0" w:color="auto"/>
            </w:tcBorders>
            <w:shd w:val="clear" w:color="auto" w:fill="auto"/>
            <w:noWrap/>
            <w:vAlign w:val="bottom"/>
            <w:hideMark/>
          </w:tcPr>
          <w:p w14:paraId="23EB81DD"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578</w:t>
            </w:r>
          </w:p>
        </w:tc>
        <w:tc>
          <w:tcPr>
            <w:tcW w:w="997" w:type="dxa"/>
            <w:tcBorders>
              <w:top w:val="nil"/>
              <w:left w:val="nil"/>
              <w:bottom w:val="single" w:sz="8" w:space="0" w:color="auto"/>
              <w:right w:val="single" w:sz="4" w:space="0" w:color="auto"/>
            </w:tcBorders>
            <w:shd w:val="clear" w:color="auto" w:fill="auto"/>
            <w:noWrap/>
            <w:vAlign w:val="bottom"/>
            <w:hideMark/>
          </w:tcPr>
          <w:p w14:paraId="1CE1D0B5"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647</w:t>
            </w:r>
          </w:p>
        </w:tc>
        <w:tc>
          <w:tcPr>
            <w:tcW w:w="997" w:type="dxa"/>
            <w:tcBorders>
              <w:top w:val="nil"/>
              <w:left w:val="nil"/>
              <w:bottom w:val="single" w:sz="8" w:space="0" w:color="auto"/>
              <w:right w:val="single" w:sz="12" w:space="0" w:color="auto"/>
            </w:tcBorders>
            <w:shd w:val="clear" w:color="auto" w:fill="auto"/>
            <w:noWrap/>
            <w:vAlign w:val="bottom"/>
            <w:hideMark/>
          </w:tcPr>
          <w:p w14:paraId="1E1065EE"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688</w:t>
            </w:r>
          </w:p>
        </w:tc>
      </w:tr>
    </w:tbl>
    <w:p w14:paraId="39DBFF2D" w14:textId="3BE0E943" w:rsidR="00670F19" w:rsidRDefault="00670F19" w:rsidP="00787C9F">
      <w:pPr>
        <w:rPr>
          <w:rFonts w:asciiTheme="majorHAnsi" w:eastAsiaTheme="majorEastAsia" w:hAnsiTheme="majorHAnsi" w:cstheme="majorBidi"/>
          <w:color w:val="2E74B5" w:themeColor="accent1" w:themeShade="BF"/>
          <w:sz w:val="32"/>
          <w:szCs w:val="32"/>
        </w:rPr>
      </w:pPr>
    </w:p>
    <w:tbl>
      <w:tblPr>
        <w:tblW w:w="8940" w:type="dxa"/>
        <w:tblLook w:val="04A0" w:firstRow="1" w:lastRow="0" w:firstColumn="1" w:lastColumn="0" w:noHBand="0" w:noVBand="1"/>
      </w:tblPr>
      <w:tblGrid>
        <w:gridCol w:w="994"/>
        <w:gridCol w:w="994"/>
        <w:gridCol w:w="994"/>
        <w:gridCol w:w="993"/>
        <w:gridCol w:w="993"/>
        <w:gridCol w:w="993"/>
        <w:gridCol w:w="993"/>
        <w:gridCol w:w="993"/>
        <w:gridCol w:w="993"/>
      </w:tblGrid>
      <w:tr w:rsidR="00670F19" w:rsidRPr="00670F19" w14:paraId="7BC52416" w14:textId="77777777" w:rsidTr="00670F19">
        <w:trPr>
          <w:trHeight w:val="380"/>
        </w:trPr>
        <w:tc>
          <w:tcPr>
            <w:tcW w:w="8940" w:type="dxa"/>
            <w:gridSpan w:val="9"/>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88D3208" w14:textId="77777777" w:rsidR="00670F19" w:rsidRPr="00670F19" w:rsidRDefault="00670F19" w:rsidP="00670F19">
            <w:pPr>
              <w:spacing w:after="0" w:line="240" w:lineRule="auto"/>
              <w:jc w:val="center"/>
              <w:rPr>
                <w:rFonts w:ascii="Calibri" w:eastAsia="Times New Roman" w:hAnsi="Calibri" w:cs="Calibri"/>
                <w:b/>
                <w:bCs/>
                <w:color w:val="000000"/>
                <w:sz w:val="28"/>
                <w:szCs w:val="28"/>
              </w:rPr>
            </w:pPr>
            <w:r w:rsidRPr="00670F19">
              <w:rPr>
                <w:rFonts w:ascii="Calibri" w:eastAsia="Times New Roman" w:hAnsi="Calibri" w:cs="Calibri"/>
                <w:b/>
                <w:bCs/>
                <w:color w:val="000000"/>
                <w:sz w:val="28"/>
                <w:szCs w:val="28"/>
              </w:rPr>
              <w:t>Spring CHEM 1212 Grades</w:t>
            </w:r>
          </w:p>
        </w:tc>
      </w:tr>
      <w:tr w:rsidR="00670F19" w:rsidRPr="00670F19" w14:paraId="55515F72" w14:textId="77777777" w:rsidTr="00670F19">
        <w:trPr>
          <w:trHeight w:val="300"/>
        </w:trPr>
        <w:tc>
          <w:tcPr>
            <w:tcW w:w="994" w:type="dxa"/>
            <w:tcBorders>
              <w:top w:val="nil"/>
              <w:left w:val="single" w:sz="8" w:space="0" w:color="auto"/>
              <w:bottom w:val="single" w:sz="8" w:space="0" w:color="auto"/>
              <w:right w:val="single" w:sz="4" w:space="0" w:color="auto"/>
            </w:tcBorders>
            <w:shd w:val="clear" w:color="auto" w:fill="auto"/>
            <w:noWrap/>
            <w:vAlign w:val="center"/>
            <w:hideMark/>
          </w:tcPr>
          <w:p w14:paraId="55064F42"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S 2015</w:t>
            </w:r>
          </w:p>
        </w:tc>
        <w:tc>
          <w:tcPr>
            <w:tcW w:w="994" w:type="dxa"/>
            <w:tcBorders>
              <w:top w:val="nil"/>
              <w:left w:val="nil"/>
              <w:bottom w:val="single" w:sz="8" w:space="0" w:color="auto"/>
              <w:right w:val="single" w:sz="4" w:space="0" w:color="auto"/>
            </w:tcBorders>
            <w:shd w:val="clear" w:color="auto" w:fill="auto"/>
            <w:noWrap/>
            <w:vAlign w:val="center"/>
            <w:hideMark/>
          </w:tcPr>
          <w:p w14:paraId="6E1B8D23"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S 2016</w:t>
            </w:r>
          </w:p>
        </w:tc>
        <w:tc>
          <w:tcPr>
            <w:tcW w:w="994" w:type="dxa"/>
            <w:tcBorders>
              <w:top w:val="nil"/>
              <w:left w:val="nil"/>
              <w:bottom w:val="single" w:sz="8" w:space="0" w:color="auto"/>
              <w:right w:val="single" w:sz="4" w:space="0" w:color="auto"/>
            </w:tcBorders>
            <w:shd w:val="clear" w:color="auto" w:fill="auto"/>
            <w:noWrap/>
            <w:vAlign w:val="center"/>
            <w:hideMark/>
          </w:tcPr>
          <w:p w14:paraId="320262B7"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S 2017</w:t>
            </w:r>
          </w:p>
        </w:tc>
        <w:tc>
          <w:tcPr>
            <w:tcW w:w="993" w:type="dxa"/>
            <w:tcBorders>
              <w:top w:val="nil"/>
              <w:left w:val="nil"/>
              <w:bottom w:val="single" w:sz="8" w:space="0" w:color="auto"/>
              <w:right w:val="single" w:sz="4" w:space="0" w:color="auto"/>
            </w:tcBorders>
            <w:shd w:val="clear" w:color="auto" w:fill="auto"/>
            <w:noWrap/>
            <w:vAlign w:val="center"/>
            <w:hideMark/>
          </w:tcPr>
          <w:p w14:paraId="2091C8A5"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S 2018</w:t>
            </w:r>
          </w:p>
        </w:tc>
        <w:tc>
          <w:tcPr>
            <w:tcW w:w="993" w:type="dxa"/>
            <w:tcBorders>
              <w:top w:val="nil"/>
              <w:left w:val="nil"/>
              <w:bottom w:val="single" w:sz="8" w:space="0" w:color="auto"/>
              <w:right w:val="single" w:sz="4" w:space="0" w:color="auto"/>
            </w:tcBorders>
            <w:shd w:val="clear" w:color="auto" w:fill="auto"/>
            <w:noWrap/>
            <w:vAlign w:val="center"/>
            <w:hideMark/>
          </w:tcPr>
          <w:p w14:paraId="13CB2455"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S 2019</w:t>
            </w:r>
          </w:p>
        </w:tc>
        <w:tc>
          <w:tcPr>
            <w:tcW w:w="993" w:type="dxa"/>
            <w:tcBorders>
              <w:top w:val="nil"/>
              <w:left w:val="nil"/>
              <w:bottom w:val="single" w:sz="8" w:space="0" w:color="auto"/>
              <w:right w:val="single" w:sz="4" w:space="0" w:color="auto"/>
            </w:tcBorders>
            <w:shd w:val="clear" w:color="auto" w:fill="auto"/>
            <w:noWrap/>
            <w:vAlign w:val="center"/>
            <w:hideMark/>
          </w:tcPr>
          <w:p w14:paraId="733D81CE"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S 2020</w:t>
            </w:r>
          </w:p>
        </w:tc>
        <w:tc>
          <w:tcPr>
            <w:tcW w:w="993" w:type="dxa"/>
            <w:tcBorders>
              <w:top w:val="nil"/>
              <w:left w:val="nil"/>
              <w:bottom w:val="single" w:sz="8" w:space="0" w:color="auto"/>
              <w:right w:val="single" w:sz="4" w:space="0" w:color="auto"/>
            </w:tcBorders>
            <w:shd w:val="clear" w:color="auto" w:fill="auto"/>
            <w:noWrap/>
            <w:vAlign w:val="center"/>
            <w:hideMark/>
          </w:tcPr>
          <w:p w14:paraId="19A9AD21"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S 2021</w:t>
            </w:r>
          </w:p>
        </w:tc>
        <w:tc>
          <w:tcPr>
            <w:tcW w:w="993" w:type="dxa"/>
            <w:tcBorders>
              <w:top w:val="nil"/>
              <w:left w:val="nil"/>
              <w:bottom w:val="single" w:sz="4" w:space="0" w:color="auto"/>
              <w:right w:val="single" w:sz="4" w:space="0" w:color="auto"/>
            </w:tcBorders>
            <w:shd w:val="clear" w:color="auto" w:fill="auto"/>
            <w:noWrap/>
            <w:vAlign w:val="center"/>
            <w:hideMark/>
          </w:tcPr>
          <w:p w14:paraId="1D63970B"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S 2022</w:t>
            </w:r>
          </w:p>
        </w:tc>
        <w:tc>
          <w:tcPr>
            <w:tcW w:w="993" w:type="dxa"/>
            <w:tcBorders>
              <w:top w:val="nil"/>
              <w:left w:val="nil"/>
              <w:bottom w:val="single" w:sz="4" w:space="0" w:color="auto"/>
              <w:right w:val="single" w:sz="8" w:space="0" w:color="auto"/>
            </w:tcBorders>
            <w:shd w:val="clear" w:color="auto" w:fill="auto"/>
            <w:noWrap/>
            <w:vAlign w:val="center"/>
            <w:hideMark/>
          </w:tcPr>
          <w:p w14:paraId="10A6427D"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S 2023</w:t>
            </w:r>
          </w:p>
        </w:tc>
      </w:tr>
      <w:tr w:rsidR="00670F19" w:rsidRPr="00670F19" w14:paraId="53ABB443" w14:textId="77777777" w:rsidTr="00670F19">
        <w:trPr>
          <w:trHeight w:val="290"/>
        </w:trPr>
        <w:tc>
          <w:tcPr>
            <w:tcW w:w="994" w:type="dxa"/>
            <w:tcBorders>
              <w:top w:val="nil"/>
              <w:left w:val="single" w:sz="8" w:space="0" w:color="auto"/>
              <w:bottom w:val="single" w:sz="4" w:space="0" w:color="auto"/>
              <w:right w:val="single" w:sz="4" w:space="0" w:color="auto"/>
            </w:tcBorders>
            <w:shd w:val="clear" w:color="auto" w:fill="auto"/>
            <w:noWrap/>
            <w:vAlign w:val="center"/>
            <w:hideMark/>
          </w:tcPr>
          <w:p w14:paraId="2DC76E6F"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64.0%</w:t>
            </w:r>
          </w:p>
        </w:tc>
        <w:tc>
          <w:tcPr>
            <w:tcW w:w="994" w:type="dxa"/>
            <w:tcBorders>
              <w:top w:val="nil"/>
              <w:left w:val="nil"/>
              <w:bottom w:val="single" w:sz="4" w:space="0" w:color="auto"/>
              <w:right w:val="single" w:sz="4" w:space="0" w:color="auto"/>
            </w:tcBorders>
            <w:shd w:val="clear" w:color="auto" w:fill="auto"/>
            <w:noWrap/>
            <w:vAlign w:val="center"/>
            <w:hideMark/>
          </w:tcPr>
          <w:p w14:paraId="56E45FE1"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82.2%</w:t>
            </w:r>
          </w:p>
        </w:tc>
        <w:tc>
          <w:tcPr>
            <w:tcW w:w="994" w:type="dxa"/>
            <w:tcBorders>
              <w:top w:val="nil"/>
              <w:left w:val="nil"/>
              <w:bottom w:val="single" w:sz="4" w:space="0" w:color="auto"/>
              <w:right w:val="single" w:sz="4" w:space="0" w:color="auto"/>
            </w:tcBorders>
            <w:shd w:val="clear" w:color="auto" w:fill="auto"/>
            <w:noWrap/>
            <w:vAlign w:val="center"/>
            <w:hideMark/>
          </w:tcPr>
          <w:p w14:paraId="123F267D"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73.3%</w:t>
            </w:r>
          </w:p>
        </w:tc>
        <w:tc>
          <w:tcPr>
            <w:tcW w:w="993" w:type="dxa"/>
            <w:tcBorders>
              <w:top w:val="nil"/>
              <w:left w:val="nil"/>
              <w:bottom w:val="single" w:sz="4" w:space="0" w:color="auto"/>
              <w:right w:val="single" w:sz="4" w:space="0" w:color="auto"/>
            </w:tcBorders>
            <w:shd w:val="clear" w:color="auto" w:fill="auto"/>
            <w:noWrap/>
            <w:vAlign w:val="center"/>
            <w:hideMark/>
          </w:tcPr>
          <w:p w14:paraId="1BB44488"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79.9%</w:t>
            </w:r>
          </w:p>
        </w:tc>
        <w:tc>
          <w:tcPr>
            <w:tcW w:w="993" w:type="dxa"/>
            <w:tcBorders>
              <w:top w:val="nil"/>
              <w:left w:val="nil"/>
              <w:bottom w:val="single" w:sz="4" w:space="0" w:color="auto"/>
              <w:right w:val="single" w:sz="4" w:space="0" w:color="auto"/>
            </w:tcBorders>
            <w:shd w:val="clear" w:color="auto" w:fill="auto"/>
            <w:noWrap/>
            <w:vAlign w:val="center"/>
            <w:hideMark/>
          </w:tcPr>
          <w:p w14:paraId="6DB5D4F1"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84.5%</w:t>
            </w:r>
          </w:p>
        </w:tc>
        <w:tc>
          <w:tcPr>
            <w:tcW w:w="993" w:type="dxa"/>
            <w:tcBorders>
              <w:top w:val="nil"/>
              <w:left w:val="nil"/>
              <w:bottom w:val="single" w:sz="4" w:space="0" w:color="auto"/>
              <w:right w:val="single" w:sz="4" w:space="0" w:color="auto"/>
            </w:tcBorders>
            <w:shd w:val="clear" w:color="auto" w:fill="auto"/>
            <w:noWrap/>
            <w:vAlign w:val="center"/>
            <w:hideMark/>
          </w:tcPr>
          <w:p w14:paraId="73B722F3"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92.0%</w:t>
            </w:r>
          </w:p>
        </w:tc>
        <w:tc>
          <w:tcPr>
            <w:tcW w:w="993" w:type="dxa"/>
            <w:tcBorders>
              <w:top w:val="nil"/>
              <w:left w:val="nil"/>
              <w:bottom w:val="single" w:sz="4" w:space="0" w:color="auto"/>
              <w:right w:val="single" w:sz="4" w:space="0" w:color="auto"/>
            </w:tcBorders>
            <w:shd w:val="clear" w:color="auto" w:fill="auto"/>
            <w:noWrap/>
            <w:vAlign w:val="center"/>
            <w:hideMark/>
          </w:tcPr>
          <w:p w14:paraId="53C4B8CA"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78.6%</w:t>
            </w:r>
          </w:p>
        </w:tc>
        <w:tc>
          <w:tcPr>
            <w:tcW w:w="993" w:type="dxa"/>
            <w:tcBorders>
              <w:top w:val="nil"/>
              <w:left w:val="nil"/>
              <w:bottom w:val="single" w:sz="4" w:space="0" w:color="auto"/>
              <w:right w:val="single" w:sz="4" w:space="0" w:color="auto"/>
            </w:tcBorders>
            <w:shd w:val="clear" w:color="auto" w:fill="auto"/>
            <w:noWrap/>
            <w:vAlign w:val="center"/>
            <w:hideMark/>
          </w:tcPr>
          <w:p w14:paraId="3CF2089B"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81.7%</w:t>
            </w:r>
          </w:p>
        </w:tc>
        <w:tc>
          <w:tcPr>
            <w:tcW w:w="993" w:type="dxa"/>
            <w:tcBorders>
              <w:top w:val="nil"/>
              <w:left w:val="nil"/>
              <w:bottom w:val="single" w:sz="4" w:space="0" w:color="auto"/>
              <w:right w:val="single" w:sz="8" w:space="0" w:color="auto"/>
            </w:tcBorders>
            <w:shd w:val="clear" w:color="auto" w:fill="auto"/>
            <w:noWrap/>
            <w:vAlign w:val="center"/>
            <w:hideMark/>
          </w:tcPr>
          <w:p w14:paraId="2C40F960"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86.6%</w:t>
            </w:r>
          </w:p>
        </w:tc>
      </w:tr>
      <w:tr w:rsidR="00670F19" w:rsidRPr="00670F19" w14:paraId="7D496306" w14:textId="77777777" w:rsidTr="00670F19">
        <w:trPr>
          <w:trHeight w:val="290"/>
        </w:trPr>
        <w:tc>
          <w:tcPr>
            <w:tcW w:w="994" w:type="dxa"/>
            <w:tcBorders>
              <w:top w:val="nil"/>
              <w:left w:val="single" w:sz="8" w:space="0" w:color="auto"/>
              <w:bottom w:val="single" w:sz="4" w:space="0" w:color="auto"/>
              <w:right w:val="single" w:sz="4" w:space="0" w:color="auto"/>
            </w:tcBorders>
            <w:shd w:val="clear" w:color="auto" w:fill="auto"/>
            <w:noWrap/>
            <w:vAlign w:val="center"/>
            <w:hideMark/>
          </w:tcPr>
          <w:p w14:paraId="7D2F46C0"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8.9%</w:t>
            </w:r>
          </w:p>
        </w:tc>
        <w:tc>
          <w:tcPr>
            <w:tcW w:w="994" w:type="dxa"/>
            <w:tcBorders>
              <w:top w:val="nil"/>
              <w:left w:val="nil"/>
              <w:bottom w:val="single" w:sz="4" w:space="0" w:color="auto"/>
              <w:right w:val="single" w:sz="4" w:space="0" w:color="auto"/>
            </w:tcBorders>
            <w:shd w:val="clear" w:color="auto" w:fill="auto"/>
            <w:noWrap/>
            <w:vAlign w:val="center"/>
            <w:hideMark/>
          </w:tcPr>
          <w:p w14:paraId="19BA40D8"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6.0%</w:t>
            </w:r>
          </w:p>
        </w:tc>
        <w:tc>
          <w:tcPr>
            <w:tcW w:w="994" w:type="dxa"/>
            <w:tcBorders>
              <w:top w:val="nil"/>
              <w:left w:val="nil"/>
              <w:bottom w:val="single" w:sz="4" w:space="0" w:color="auto"/>
              <w:right w:val="single" w:sz="4" w:space="0" w:color="auto"/>
            </w:tcBorders>
            <w:shd w:val="clear" w:color="auto" w:fill="auto"/>
            <w:noWrap/>
            <w:vAlign w:val="center"/>
            <w:hideMark/>
          </w:tcPr>
          <w:p w14:paraId="19565325"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7.9%</w:t>
            </w:r>
          </w:p>
        </w:tc>
        <w:tc>
          <w:tcPr>
            <w:tcW w:w="993" w:type="dxa"/>
            <w:tcBorders>
              <w:top w:val="nil"/>
              <w:left w:val="nil"/>
              <w:bottom w:val="single" w:sz="4" w:space="0" w:color="auto"/>
              <w:right w:val="single" w:sz="4" w:space="0" w:color="auto"/>
            </w:tcBorders>
            <w:shd w:val="clear" w:color="auto" w:fill="auto"/>
            <w:noWrap/>
            <w:vAlign w:val="center"/>
            <w:hideMark/>
          </w:tcPr>
          <w:p w14:paraId="1FC08085"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9.1%</w:t>
            </w:r>
          </w:p>
        </w:tc>
        <w:tc>
          <w:tcPr>
            <w:tcW w:w="993" w:type="dxa"/>
            <w:tcBorders>
              <w:top w:val="nil"/>
              <w:left w:val="nil"/>
              <w:bottom w:val="single" w:sz="4" w:space="0" w:color="auto"/>
              <w:right w:val="single" w:sz="4" w:space="0" w:color="auto"/>
            </w:tcBorders>
            <w:shd w:val="clear" w:color="auto" w:fill="auto"/>
            <w:noWrap/>
            <w:vAlign w:val="center"/>
            <w:hideMark/>
          </w:tcPr>
          <w:p w14:paraId="370F2C22"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8.0%</w:t>
            </w:r>
          </w:p>
        </w:tc>
        <w:tc>
          <w:tcPr>
            <w:tcW w:w="993" w:type="dxa"/>
            <w:tcBorders>
              <w:top w:val="nil"/>
              <w:left w:val="nil"/>
              <w:bottom w:val="single" w:sz="4" w:space="0" w:color="auto"/>
              <w:right w:val="single" w:sz="4" w:space="0" w:color="auto"/>
            </w:tcBorders>
            <w:shd w:val="clear" w:color="auto" w:fill="auto"/>
            <w:noWrap/>
            <w:vAlign w:val="center"/>
            <w:hideMark/>
          </w:tcPr>
          <w:p w14:paraId="5C1CE892"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2.5%</w:t>
            </w:r>
          </w:p>
        </w:tc>
        <w:tc>
          <w:tcPr>
            <w:tcW w:w="993" w:type="dxa"/>
            <w:tcBorders>
              <w:top w:val="nil"/>
              <w:left w:val="nil"/>
              <w:bottom w:val="single" w:sz="4" w:space="0" w:color="auto"/>
              <w:right w:val="single" w:sz="4" w:space="0" w:color="auto"/>
            </w:tcBorders>
            <w:shd w:val="clear" w:color="auto" w:fill="auto"/>
            <w:noWrap/>
            <w:vAlign w:val="center"/>
            <w:hideMark/>
          </w:tcPr>
          <w:p w14:paraId="5C13092C"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14.5%</w:t>
            </w:r>
          </w:p>
        </w:tc>
        <w:tc>
          <w:tcPr>
            <w:tcW w:w="993" w:type="dxa"/>
            <w:tcBorders>
              <w:top w:val="nil"/>
              <w:left w:val="nil"/>
              <w:bottom w:val="single" w:sz="4" w:space="0" w:color="auto"/>
              <w:right w:val="single" w:sz="4" w:space="0" w:color="auto"/>
            </w:tcBorders>
            <w:shd w:val="clear" w:color="auto" w:fill="auto"/>
            <w:noWrap/>
            <w:vAlign w:val="center"/>
            <w:hideMark/>
          </w:tcPr>
          <w:p w14:paraId="6153B88C"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13.0%</w:t>
            </w:r>
          </w:p>
        </w:tc>
        <w:tc>
          <w:tcPr>
            <w:tcW w:w="993" w:type="dxa"/>
            <w:tcBorders>
              <w:top w:val="nil"/>
              <w:left w:val="nil"/>
              <w:bottom w:val="single" w:sz="4" w:space="0" w:color="auto"/>
              <w:right w:val="single" w:sz="8" w:space="0" w:color="auto"/>
            </w:tcBorders>
            <w:shd w:val="clear" w:color="auto" w:fill="auto"/>
            <w:noWrap/>
            <w:vAlign w:val="center"/>
            <w:hideMark/>
          </w:tcPr>
          <w:p w14:paraId="63DBAB59"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8.6%</w:t>
            </w:r>
          </w:p>
        </w:tc>
      </w:tr>
      <w:tr w:rsidR="00670F19" w:rsidRPr="00670F19" w14:paraId="787F904E" w14:textId="77777777" w:rsidTr="00670F19">
        <w:trPr>
          <w:trHeight w:val="290"/>
        </w:trPr>
        <w:tc>
          <w:tcPr>
            <w:tcW w:w="994" w:type="dxa"/>
            <w:tcBorders>
              <w:top w:val="nil"/>
              <w:left w:val="single" w:sz="8" w:space="0" w:color="auto"/>
              <w:bottom w:val="single" w:sz="4" w:space="0" w:color="auto"/>
              <w:right w:val="single" w:sz="4" w:space="0" w:color="auto"/>
            </w:tcBorders>
            <w:shd w:val="clear" w:color="auto" w:fill="auto"/>
            <w:noWrap/>
            <w:vAlign w:val="center"/>
            <w:hideMark/>
          </w:tcPr>
          <w:p w14:paraId="0368DA64"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27.1%</w:t>
            </w:r>
          </w:p>
        </w:tc>
        <w:tc>
          <w:tcPr>
            <w:tcW w:w="994" w:type="dxa"/>
            <w:tcBorders>
              <w:top w:val="nil"/>
              <w:left w:val="nil"/>
              <w:bottom w:val="single" w:sz="4" w:space="0" w:color="auto"/>
              <w:right w:val="single" w:sz="4" w:space="0" w:color="auto"/>
            </w:tcBorders>
            <w:shd w:val="clear" w:color="auto" w:fill="auto"/>
            <w:noWrap/>
            <w:vAlign w:val="center"/>
            <w:hideMark/>
          </w:tcPr>
          <w:p w14:paraId="688ECF85"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11.8%</w:t>
            </w:r>
          </w:p>
        </w:tc>
        <w:tc>
          <w:tcPr>
            <w:tcW w:w="994" w:type="dxa"/>
            <w:tcBorders>
              <w:top w:val="nil"/>
              <w:left w:val="nil"/>
              <w:bottom w:val="single" w:sz="4" w:space="0" w:color="auto"/>
              <w:right w:val="single" w:sz="4" w:space="0" w:color="auto"/>
            </w:tcBorders>
            <w:shd w:val="clear" w:color="auto" w:fill="auto"/>
            <w:noWrap/>
            <w:vAlign w:val="center"/>
            <w:hideMark/>
          </w:tcPr>
          <w:p w14:paraId="49BC0D10"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18.8%</w:t>
            </w:r>
          </w:p>
        </w:tc>
        <w:tc>
          <w:tcPr>
            <w:tcW w:w="993" w:type="dxa"/>
            <w:tcBorders>
              <w:top w:val="nil"/>
              <w:left w:val="nil"/>
              <w:bottom w:val="single" w:sz="4" w:space="0" w:color="auto"/>
              <w:right w:val="single" w:sz="4" w:space="0" w:color="auto"/>
            </w:tcBorders>
            <w:shd w:val="clear" w:color="auto" w:fill="auto"/>
            <w:noWrap/>
            <w:vAlign w:val="center"/>
            <w:hideMark/>
          </w:tcPr>
          <w:p w14:paraId="4E4E004B"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11.0%</w:t>
            </w:r>
          </w:p>
        </w:tc>
        <w:tc>
          <w:tcPr>
            <w:tcW w:w="993" w:type="dxa"/>
            <w:tcBorders>
              <w:top w:val="nil"/>
              <w:left w:val="nil"/>
              <w:bottom w:val="single" w:sz="4" w:space="0" w:color="auto"/>
              <w:right w:val="single" w:sz="4" w:space="0" w:color="auto"/>
            </w:tcBorders>
            <w:shd w:val="clear" w:color="auto" w:fill="auto"/>
            <w:noWrap/>
            <w:vAlign w:val="center"/>
            <w:hideMark/>
          </w:tcPr>
          <w:p w14:paraId="216E2327"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7.5%</w:t>
            </w:r>
          </w:p>
        </w:tc>
        <w:tc>
          <w:tcPr>
            <w:tcW w:w="993" w:type="dxa"/>
            <w:tcBorders>
              <w:top w:val="nil"/>
              <w:left w:val="nil"/>
              <w:bottom w:val="single" w:sz="4" w:space="0" w:color="auto"/>
              <w:right w:val="single" w:sz="4" w:space="0" w:color="auto"/>
            </w:tcBorders>
            <w:shd w:val="clear" w:color="auto" w:fill="auto"/>
            <w:noWrap/>
            <w:vAlign w:val="center"/>
            <w:hideMark/>
          </w:tcPr>
          <w:p w14:paraId="194743D8"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5.5%</w:t>
            </w:r>
          </w:p>
        </w:tc>
        <w:tc>
          <w:tcPr>
            <w:tcW w:w="993" w:type="dxa"/>
            <w:tcBorders>
              <w:top w:val="nil"/>
              <w:left w:val="nil"/>
              <w:bottom w:val="single" w:sz="4" w:space="0" w:color="auto"/>
              <w:right w:val="single" w:sz="4" w:space="0" w:color="auto"/>
            </w:tcBorders>
            <w:shd w:val="clear" w:color="auto" w:fill="auto"/>
            <w:noWrap/>
            <w:vAlign w:val="center"/>
            <w:hideMark/>
          </w:tcPr>
          <w:p w14:paraId="5E02838B"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6.9%</w:t>
            </w:r>
          </w:p>
        </w:tc>
        <w:tc>
          <w:tcPr>
            <w:tcW w:w="993" w:type="dxa"/>
            <w:tcBorders>
              <w:top w:val="nil"/>
              <w:left w:val="nil"/>
              <w:bottom w:val="single" w:sz="4" w:space="0" w:color="auto"/>
              <w:right w:val="single" w:sz="4" w:space="0" w:color="auto"/>
            </w:tcBorders>
            <w:shd w:val="clear" w:color="auto" w:fill="auto"/>
            <w:noWrap/>
            <w:vAlign w:val="center"/>
            <w:hideMark/>
          </w:tcPr>
          <w:p w14:paraId="217D4FAD"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5.1%</w:t>
            </w:r>
          </w:p>
        </w:tc>
        <w:tc>
          <w:tcPr>
            <w:tcW w:w="993" w:type="dxa"/>
            <w:tcBorders>
              <w:top w:val="nil"/>
              <w:left w:val="nil"/>
              <w:bottom w:val="single" w:sz="4" w:space="0" w:color="auto"/>
              <w:right w:val="single" w:sz="8" w:space="0" w:color="auto"/>
            </w:tcBorders>
            <w:shd w:val="clear" w:color="auto" w:fill="auto"/>
            <w:noWrap/>
            <w:vAlign w:val="center"/>
            <w:hideMark/>
          </w:tcPr>
          <w:p w14:paraId="5F667411" w14:textId="77777777" w:rsidR="00670F19" w:rsidRPr="00670F19" w:rsidRDefault="00670F19" w:rsidP="00670F19">
            <w:pPr>
              <w:spacing w:after="0" w:line="240" w:lineRule="auto"/>
              <w:jc w:val="center"/>
              <w:rPr>
                <w:rFonts w:ascii="Calibri" w:eastAsia="Times New Roman" w:hAnsi="Calibri" w:cs="Calibri"/>
                <w:color w:val="000000"/>
              </w:rPr>
            </w:pPr>
            <w:r w:rsidRPr="00670F19">
              <w:rPr>
                <w:rFonts w:ascii="Calibri" w:eastAsia="Times New Roman" w:hAnsi="Calibri" w:cs="Calibri"/>
                <w:color w:val="000000"/>
              </w:rPr>
              <w:t>4.8%</w:t>
            </w:r>
          </w:p>
        </w:tc>
      </w:tr>
      <w:tr w:rsidR="00670F19" w:rsidRPr="00670F19" w14:paraId="34EA9276" w14:textId="77777777" w:rsidTr="00670F19">
        <w:trPr>
          <w:trHeight w:val="300"/>
        </w:trPr>
        <w:tc>
          <w:tcPr>
            <w:tcW w:w="994" w:type="dxa"/>
            <w:tcBorders>
              <w:top w:val="nil"/>
              <w:left w:val="single" w:sz="8" w:space="0" w:color="auto"/>
              <w:bottom w:val="single" w:sz="8" w:space="0" w:color="auto"/>
              <w:right w:val="single" w:sz="4" w:space="0" w:color="auto"/>
            </w:tcBorders>
            <w:shd w:val="clear" w:color="auto" w:fill="auto"/>
            <w:noWrap/>
            <w:vAlign w:val="bottom"/>
            <w:hideMark/>
          </w:tcPr>
          <w:p w14:paraId="50D00243"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1091</w:t>
            </w:r>
          </w:p>
        </w:tc>
        <w:tc>
          <w:tcPr>
            <w:tcW w:w="994" w:type="dxa"/>
            <w:tcBorders>
              <w:top w:val="nil"/>
              <w:left w:val="nil"/>
              <w:bottom w:val="single" w:sz="8" w:space="0" w:color="auto"/>
              <w:right w:val="single" w:sz="4" w:space="0" w:color="auto"/>
            </w:tcBorders>
            <w:shd w:val="clear" w:color="auto" w:fill="auto"/>
            <w:noWrap/>
            <w:vAlign w:val="bottom"/>
            <w:hideMark/>
          </w:tcPr>
          <w:p w14:paraId="56F39CFB"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985</w:t>
            </w:r>
          </w:p>
        </w:tc>
        <w:tc>
          <w:tcPr>
            <w:tcW w:w="994" w:type="dxa"/>
            <w:tcBorders>
              <w:top w:val="nil"/>
              <w:left w:val="nil"/>
              <w:bottom w:val="single" w:sz="8" w:space="0" w:color="auto"/>
              <w:right w:val="single" w:sz="4" w:space="0" w:color="auto"/>
            </w:tcBorders>
            <w:shd w:val="clear" w:color="auto" w:fill="auto"/>
            <w:noWrap/>
            <w:vAlign w:val="bottom"/>
            <w:hideMark/>
          </w:tcPr>
          <w:p w14:paraId="5ADA1E73"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866</w:t>
            </w:r>
          </w:p>
        </w:tc>
        <w:tc>
          <w:tcPr>
            <w:tcW w:w="993" w:type="dxa"/>
            <w:tcBorders>
              <w:top w:val="nil"/>
              <w:left w:val="nil"/>
              <w:bottom w:val="single" w:sz="8" w:space="0" w:color="auto"/>
              <w:right w:val="single" w:sz="4" w:space="0" w:color="auto"/>
            </w:tcBorders>
            <w:shd w:val="clear" w:color="auto" w:fill="auto"/>
            <w:noWrap/>
            <w:vAlign w:val="bottom"/>
            <w:hideMark/>
          </w:tcPr>
          <w:p w14:paraId="7CCF16BD"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877</w:t>
            </w:r>
          </w:p>
        </w:tc>
        <w:tc>
          <w:tcPr>
            <w:tcW w:w="993" w:type="dxa"/>
            <w:tcBorders>
              <w:top w:val="nil"/>
              <w:left w:val="nil"/>
              <w:bottom w:val="single" w:sz="8" w:space="0" w:color="auto"/>
              <w:right w:val="single" w:sz="4" w:space="0" w:color="auto"/>
            </w:tcBorders>
            <w:shd w:val="clear" w:color="auto" w:fill="auto"/>
            <w:noWrap/>
            <w:vAlign w:val="bottom"/>
            <w:hideMark/>
          </w:tcPr>
          <w:p w14:paraId="2FA83F41"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922</w:t>
            </w:r>
          </w:p>
        </w:tc>
        <w:tc>
          <w:tcPr>
            <w:tcW w:w="993" w:type="dxa"/>
            <w:tcBorders>
              <w:top w:val="nil"/>
              <w:left w:val="nil"/>
              <w:bottom w:val="single" w:sz="8" w:space="0" w:color="auto"/>
              <w:right w:val="single" w:sz="4" w:space="0" w:color="auto"/>
            </w:tcBorders>
            <w:shd w:val="clear" w:color="auto" w:fill="auto"/>
            <w:noWrap/>
            <w:vAlign w:val="bottom"/>
            <w:hideMark/>
          </w:tcPr>
          <w:p w14:paraId="648F7E59"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909</w:t>
            </w:r>
          </w:p>
        </w:tc>
        <w:tc>
          <w:tcPr>
            <w:tcW w:w="993" w:type="dxa"/>
            <w:tcBorders>
              <w:top w:val="nil"/>
              <w:left w:val="nil"/>
              <w:bottom w:val="single" w:sz="8" w:space="0" w:color="auto"/>
              <w:right w:val="single" w:sz="4" w:space="0" w:color="auto"/>
            </w:tcBorders>
            <w:shd w:val="clear" w:color="auto" w:fill="auto"/>
            <w:noWrap/>
            <w:vAlign w:val="bottom"/>
            <w:hideMark/>
          </w:tcPr>
          <w:p w14:paraId="6FEEFF16"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767</w:t>
            </w:r>
          </w:p>
        </w:tc>
        <w:tc>
          <w:tcPr>
            <w:tcW w:w="993" w:type="dxa"/>
            <w:tcBorders>
              <w:top w:val="nil"/>
              <w:left w:val="nil"/>
              <w:bottom w:val="single" w:sz="8" w:space="0" w:color="auto"/>
              <w:right w:val="single" w:sz="4" w:space="0" w:color="auto"/>
            </w:tcBorders>
            <w:shd w:val="clear" w:color="auto" w:fill="auto"/>
            <w:noWrap/>
            <w:vAlign w:val="bottom"/>
            <w:hideMark/>
          </w:tcPr>
          <w:p w14:paraId="3EBCD844"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818</w:t>
            </w:r>
          </w:p>
        </w:tc>
        <w:tc>
          <w:tcPr>
            <w:tcW w:w="993" w:type="dxa"/>
            <w:tcBorders>
              <w:top w:val="nil"/>
              <w:left w:val="nil"/>
              <w:bottom w:val="single" w:sz="8" w:space="0" w:color="auto"/>
              <w:right w:val="single" w:sz="8" w:space="0" w:color="auto"/>
            </w:tcBorders>
            <w:shd w:val="clear" w:color="auto" w:fill="auto"/>
            <w:noWrap/>
            <w:vAlign w:val="bottom"/>
            <w:hideMark/>
          </w:tcPr>
          <w:p w14:paraId="6DC18A7B" w14:textId="77777777" w:rsidR="00670F19" w:rsidRPr="00670F19" w:rsidRDefault="00670F19" w:rsidP="00670F19">
            <w:pPr>
              <w:spacing w:after="0" w:line="240" w:lineRule="auto"/>
              <w:jc w:val="right"/>
              <w:rPr>
                <w:rFonts w:ascii="Calibri" w:eastAsia="Times New Roman" w:hAnsi="Calibri" w:cs="Calibri"/>
                <w:color w:val="000000"/>
              </w:rPr>
            </w:pPr>
            <w:r w:rsidRPr="00670F19">
              <w:rPr>
                <w:rFonts w:ascii="Calibri" w:eastAsia="Times New Roman" w:hAnsi="Calibri" w:cs="Calibri"/>
                <w:color w:val="000000"/>
              </w:rPr>
              <w:t>806</w:t>
            </w:r>
          </w:p>
        </w:tc>
      </w:tr>
    </w:tbl>
    <w:p w14:paraId="3E618B21" w14:textId="082B4612" w:rsidR="00670F19" w:rsidRDefault="00670F19" w:rsidP="00787C9F">
      <w:pPr>
        <w:rPr>
          <w:rFonts w:asciiTheme="majorHAnsi" w:eastAsiaTheme="majorEastAsia" w:hAnsiTheme="majorHAnsi" w:cstheme="majorBidi"/>
          <w:color w:val="2E74B5" w:themeColor="accent1" w:themeShade="BF"/>
          <w:sz w:val="32"/>
          <w:szCs w:val="32"/>
        </w:rPr>
      </w:pPr>
    </w:p>
    <w:p w14:paraId="7F2BC6A3" w14:textId="46E77CDB" w:rsidR="00F847A2" w:rsidRDefault="00F847A2" w:rsidP="00787C9F">
      <w:pPr>
        <w:rPr>
          <w:rFonts w:eastAsiaTheme="majorEastAsia" w:cstheme="minorHAnsi"/>
          <w:sz w:val="24"/>
          <w:szCs w:val="24"/>
        </w:rPr>
      </w:pPr>
      <w:r w:rsidRPr="00F847A2">
        <w:rPr>
          <w:rFonts w:eastAsiaTheme="majorEastAsia" w:cstheme="minorHAnsi"/>
          <w:sz w:val="24"/>
          <w:szCs w:val="24"/>
        </w:rPr>
        <w:t xml:space="preserve">Another </w:t>
      </w:r>
      <w:r>
        <w:rPr>
          <w:rFonts w:eastAsiaTheme="majorEastAsia" w:cstheme="minorHAnsi"/>
          <w:sz w:val="24"/>
          <w:szCs w:val="24"/>
        </w:rPr>
        <w:t>indicator of student success</w:t>
      </w:r>
      <w:r w:rsidR="00B24434">
        <w:rPr>
          <w:rFonts w:eastAsiaTheme="majorEastAsia" w:cstheme="minorHAnsi"/>
          <w:sz w:val="24"/>
          <w:szCs w:val="24"/>
        </w:rPr>
        <w:t xml:space="preserve">, </w:t>
      </w:r>
      <w:r>
        <w:rPr>
          <w:rFonts w:eastAsiaTheme="majorEastAsia" w:cstheme="minorHAnsi"/>
          <w:sz w:val="24"/>
          <w:szCs w:val="24"/>
        </w:rPr>
        <w:t>retention of cont</w:t>
      </w:r>
      <w:r w:rsidR="00B24434">
        <w:rPr>
          <w:rFonts w:eastAsiaTheme="majorEastAsia" w:cstheme="minorHAnsi"/>
          <w:sz w:val="24"/>
          <w:szCs w:val="24"/>
        </w:rPr>
        <w:t>e</w:t>
      </w:r>
      <w:r>
        <w:rPr>
          <w:rFonts w:eastAsiaTheme="majorEastAsia" w:cstheme="minorHAnsi"/>
          <w:sz w:val="24"/>
          <w:szCs w:val="24"/>
        </w:rPr>
        <w:t>nt</w:t>
      </w:r>
      <w:r w:rsidR="00B24434">
        <w:rPr>
          <w:rFonts w:eastAsiaTheme="majorEastAsia" w:cstheme="minorHAnsi"/>
          <w:sz w:val="24"/>
          <w:szCs w:val="24"/>
        </w:rPr>
        <w:t xml:space="preserve">, and comprehension is seen in the scores earned on the American Chemical Society standardized exams that are used as the final exams in these classes.  </w:t>
      </w:r>
      <w:r w:rsidR="001A6F6B">
        <w:rPr>
          <w:rFonts w:eastAsiaTheme="majorEastAsia" w:cstheme="minorHAnsi"/>
          <w:sz w:val="24"/>
          <w:szCs w:val="24"/>
        </w:rPr>
        <w:t xml:space="preserve">The average ACS exam score in CHEM 1211 prior to the </w:t>
      </w:r>
      <w:r w:rsidR="00CC3094">
        <w:rPr>
          <w:rFonts w:eastAsiaTheme="majorEastAsia" w:cstheme="minorHAnsi"/>
          <w:sz w:val="24"/>
          <w:szCs w:val="24"/>
        </w:rPr>
        <w:t xml:space="preserve">redesign of the courses was 70.4% and afterward, the average score has been 75.1%.  For CHEM 1212, the </w:t>
      </w:r>
      <w:r w:rsidR="00550DF4">
        <w:rPr>
          <w:rFonts w:eastAsiaTheme="majorEastAsia" w:cstheme="minorHAnsi"/>
          <w:sz w:val="24"/>
          <w:szCs w:val="24"/>
        </w:rPr>
        <w:t xml:space="preserve">average </w:t>
      </w:r>
      <w:r w:rsidR="00CC3094">
        <w:rPr>
          <w:rFonts w:eastAsiaTheme="majorEastAsia" w:cstheme="minorHAnsi"/>
          <w:sz w:val="24"/>
          <w:szCs w:val="24"/>
        </w:rPr>
        <w:t>scores befor</w:t>
      </w:r>
      <w:r w:rsidR="00550DF4">
        <w:rPr>
          <w:rFonts w:eastAsiaTheme="majorEastAsia" w:cstheme="minorHAnsi"/>
          <w:sz w:val="24"/>
          <w:szCs w:val="24"/>
        </w:rPr>
        <w:t>e</w:t>
      </w:r>
      <w:r w:rsidR="00CC3094">
        <w:rPr>
          <w:rFonts w:eastAsiaTheme="majorEastAsia" w:cstheme="minorHAnsi"/>
          <w:sz w:val="24"/>
          <w:szCs w:val="24"/>
        </w:rPr>
        <w:t xml:space="preserve"> the changes were </w:t>
      </w:r>
      <w:r w:rsidR="00520C82">
        <w:rPr>
          <w:rFonts w:eastAsiaTheme="majorEastAsia" w:cstheme="minorHAnsi"/>
          <w:sz w:val="24"/>
          <w:szCs w:val="24"/>
        </w:rPr>
        <w:t>66.7%</w:t>
      </w:r>
      <w:r w:rsidR="00550DF4">
        <w:rPr>
          <w:rFonts w:eastAsiaTheme="majorEastAsia" w:cstheme="minorHAnsi"/>
          <w:sz w:val="24"/>
          <w:szCs w:val="24"/>
        </w:rPr>
        <w:t xml:space="preserve"> and afterward have been </w:t>
      </w:r>
      <w:r w:rsidR="00F85F5A">
        <w:rPr>
          <w:rFonts w:eastAsiaTheme="majorEastAsia" w:cstheme="minorHAnsi"/>
          <w:sz w:val="24"/>
          <w:szCs w:val="24"/>
        </w:rPr>
        <w:t xml:space="preserve">75.6%.  </w:t>
      </w:r>
    </w:p>
    <w:p w14:paraId="39ADC51C" w14:textId="2D022004" w:rsidR="00F26552" w:rsidRPr="00F847A2" w:rsidRDefault="007708AA" w:rsidP="00787C9F">
      <w:pPr>
        <w:rPr>
          <w:rFonts w:eastAsiaTheme="majorEastAsia" w:cstheme="minorHAnsi"/>
          <w:sz w:val="24"/>
          <w:szCs w:val="24"/>
        </w:rPr>
      </w:pPr>
      <w:r>
        <w:rPr>
          <w:rFonts w:eastAsiaTheme="majorEastAsia" w:cstheme="minorHAnsi"/>
          <w:sz w:val="24"/>
          <w:szCs w:val="24"/>
        </w:rPr>
        <w:t xml:space="preserve">With the increased success rates </w:t>
      </w:r>
      <w:r w:rsidR="00293EA6">
        <w:rPr>
          <w:rFonts w:eastAsiaTheme="majorEastAsia" w:cstheme="minorHAnsi"/>
          <w:sz w:val="24"/>
          <w:szCs w:val="24"/>
        </w:rPr>
        <w:t xml:space="preserve">and improved perception </w:t>
      </w:r>
      <w:r>
        <w:rPr>
          <w:rFonts w:eastAsiaTheme="majorEastAsia" w:cstheme="minorHAnsi"/>
          <w:sz w:val="24"/>
          <w:szCs w:val="24"/>
        </w:rPr>
        <w:t xml:space="preserve">of these general chemistry classes </w:t>
      </w:r>
      <w:r w:rsidR="00293EA6">
        <w:rPr>
          <w:rFonts w:eastAsiaTheme="majorEastAsia" w:cstheme="minorHAnsi"/>
          <w:sz w:val="24"/>
          <w:szCs w:val="24"/>
        </w:rPr>
        <w:t xml:space="preserve">a marked decrease in the number of students taking these classes at another institution and transferring them to the University of Georgia has been observed.  </w:t>
      </w:r>
      <w:r w:rsidR="00F16836">
        <w:rPr>
          <w:rFonts w:eastAsiaTheme="majorEastAsia" w:cstheme="minorHAnsi"/>
          <w:sz w:val="24"/>
          <w:szCs w:val="24"/>
        </w:rPr>
        <w:t xml:space="preserve">The number of students transferring CHEM 1211 credit to UGA in the year </w:t>
      </w:r>
      <w:r w:rsidR="00873DD8">
        <w:rPr>
          <w:rFonts w:eastAsiaTheme="majorEastAsia" w:cstheme="minorHAnsi"/>
          <w:sz w:val="24"/>
          <w:szCs w:val="24"/>
        </w:rPr>
        <w:t>preceding</w:t>
      </w:r>
      <w:r w:rsidR="00F16836">
        <w:rPr>
          <w:rFonts w:eastAsiaTheme="majorEastAsia" w:cstheme="minorHAnsi"/>
          <w:sz w:val="24"/>
          <w:szCs w:val="24"/>
        </w:rPr>
        <w:t xml:space="preserve"> the</w:t>
      </w:r>
      <w:r w:rsidR="009C6A81">
        <w:rPr>
          <w:rFonts w:eastAsiaTheme="majorEastAsia" w:cstheme="minorHAnsi"/>
          <w:sz w:val="24"/>
          <w:szCs w:val="24"/>
        </w:rPr>
        <w:t xml:space="preserve"> transformative changes was 1,179 to the current level of 390.  </w:t>
      </w:r>
      <w:r w:rsidR="00873DD8">
        <w:rPr>
          <w:rFonts w:eastAsiaTheme="majorEastAsia" w:cstheme="minorHAnsi"/>
          <w:sz w:val="24"/>
          <w:szCs w:val="24"/>
        </w:rPr>
        <w:t xml:space="preserve">For the same period, the students taking CHEM 1212 at another institution and transferring it to UGA has gone from </w:t>
      </w:r>
      <w:r w:rsidR="00FC1F4F">
        <w:rPr>
          <w:rFonts w:eastAsiaTheme="majorEastAsia" w:cstheme="minorHAnsi"/>
          <w:sz w:val="24"/>
          <w:szCs w:val="24"/>
        </w:rPr>
        <w:t xml:space="preserve">615 to 188.  </w:t>
      </w:r>
    </w:p>
    <w:p w14:paraId="2107F97D" w14:textId="265B0DEB" w:rsidR="00F70B70" w:rsidRDefault="00F70B70" w:rsidP="003F4D85">
      <w:pPr>
        <w:pStyle w:val="Heading1"/>
        <w:numPr>
          <w:ilvl w:val="0"/>
          <w:numId w:val="18"/>
        </w:numPr>
        <w:ind w:left="360"/>
      </w:pPr>
      <w:r w:rsidRPr="004F2656">
        <w:t>Sustainability Plan</w:t>
      </w:r>
    </w:p>
    <w:p w14:paraId="2ADBCF15" w14:textId="4BF4C7C4" w:rsidR="00BE4F55" w:rsidRDefault="00797F6D" w:rsidP="00BE4F55">
      <w:pPr>
        <w:rPr>
          <w:sz w:val="24"/>
          <w:szCs w:val="24"/>
        </w:rPr>
      </w:pPr>
      <w:r>
        <w:rPr>
          <w:sz w:val="24"/>
          <w:szCs w:val="24"/>
        </w:rPr>
        <w:t xml:space="preserve">Given the success of the methodology used in the </w:t>
      </w:r>
      <w:r w:rsidR="00EF7D6D">
        <w:rPr>
          <w:sz w:val="24"/>
          <w:szCs w:val="24"/>
        </w:rPr>
        <w:t>General Chemistry I and II classes, t</w:t>
      </w:r>
      <w:r w:rsidRPr="00797F6D">
        <w:rPr>
          <w:sz w:val="24"/>
          <w:szCs w:val="24"/>
        </w:rPr>
        <w:t xml:space="preserve">here is no </w:t>
      </w:r>
      <w:r>
        <w:rPr>
          <w:sz w:val="24"/>
          <w:szCs w:val="24"/>
        </w:rPr>
        <w:t xml:space="preserve">plan to step away from this model.  </w:t>
      </w:r>
      <w:r w:rsidR="00EF7D6D">
        <w:rPr>
          <w:sz w:val="24"/>
          <w:szCs w:val="24"/>
        </w:rPr>
        <w:t xml:space="preserve">In fact, it has been implemented in numerous other classes in the chemistry department such as the Basics of Chemistry (CHEM 1210), </w:t>
      </w:r>
      <w:r w:rsidR="00E467A6">
        <w:rPr>
          <w:sz w:val="24"/>
          <w:szCs w:val="24"/>
        </w:rPr>
        <w:t xml:space="preserve">Advanced General Chemistry </w:t>
      </w:r>
      <w:r w:rsidR="00B561F7">
        <w:rPr>
          <w:sz w:val="24"/>
          <w:szCs w:val="24"/>
        </w:rPr>
        <w:t xml:space="preserve">II </w:t>
      </w:r>
      <w:r w:rsidR="00E467A6">
        <w:rPr>
          <w:sz w:val="24"/>
          <w:szCs w:val="24"/>
        </w:rPr>
        <w:t>(Honors)</w:t>
      </w:r>
      <w:r w:rsidR="00B561F7">
        <w:rPr>
          <w:sz w:val="24"/>
          <w:szCs w:val="24"/>
        </w:rPr>
        <w:t xml:space="preserve"> (CHEM 1312H), General Chemistry for Scientists and Engineers</w:t>
      </w:r>
      <w:r w:rsidR="000A2EA4">
        <w:rPr>
          <w:sz w:val="24"/>
          <w:szCs w:val="24"/>
        </w:rPr>
        <w:t xml:space="preserve"> I and II (CHEM 1411 and CHEM 1412).  In these classes, students have responded favorably to the changes and success rates have improved.</w:t>
      </w:r>
    </w:p>
    <w:p w14:paraId="5D2930F4" w14:textId="4DE0702F" w:rsidR="00471C68" w:rsidRPr="004F2656" w:rsidRDefault="00471C68" w:rsidP="003F4D85">
      <w:pPr>
        <w:pStyle w:val="Heading1"/>
        <w:numPr>
          <w:ilvl w:val="0"/>
          <w:numId w:val="18"/>
        </w:numPr>
        <w:ind w:left="360"/>
      </w:pPr>
      <w:r w:rsidRPr="004F2656">
        <w:t xml:space="preserve">Future </w:t>
      </w:r>
      <w:r w:rsidR="00190A51">
        <w:t xml:space="preserve">Affordable Materials </w:t>
      </w:r>
      <w:r w:rsidRPr="004F2656">
        <w:t>Plans</w:t>
      </w:r>
    </w:p>
    <w:p w14:paraId="1A023AA9" w14:textId="22AA4440" w:rsidR="00C03CAC" w:rsidRPr="00C03CAC" w:rsidRDefault="00C03CAC" w:rsidP="00C03CAC">
      <w:pPr>
        <w:rPr>
          <w:sz w:val="24"/>
          <w:szCs w:val="24"/>
        </w:rPr>
      </w:pPr>
      <w:r w:rsidRPr="00C03CAC">
        <w:rPr>
          <w:sz w:val="24"/>
          <w:szCs w:val="24"/>
        </w:rPr>
        <w:t xml:space="preserve">This model has recently been expanded to include the Modern Organic Chemistry I and II classes (CHEM 2211 and CHEM 2212) for one semester each with similar results as have been seen with general chemistry.  Future plans include continued work with organic chemistry classes </w:t>
      </w:r>
      <w:r w:rsidR="009D2E57">
        <w:rPr>
          <w:sz w:val="24"/>
          <w:szCs w:val="24"/>
        </w:rPr>
        <w:t xml:space="preserve">so they run as smoothly as the general chemistry classes.  Other </w:t>
      </w:r>
      <w:r w:rsidR="00827F3E">
        <w:rPr>
          <w:sz w:val="24"/>
          <w:szCs w:val="24"/>
        </w:rPr>
        <w:t xml:space="preserve">UGA </w:t>
      </w:r>
      <w:r w:rsidR="009D2E57">
        <w:rPr>
          <w:sz w:val="24"/>
          <w:szCs w:val="24"/>
        </w:rPr>
        <w:t xml:space="preserve">Departments including Computer Science, Microbiology, and Biology are </w:t>
      </w:r>
      <w:r w:rsidR="00827F3E">
        <w:rPr>
          <w:sz w:val="24"/>
          <w:szCs w:val="24"/>
        </w:rPr>
        <w:t xml:space="preserve">currently </w:t>
      </w:r>
      <w:r w:rsidR="009D2E57">
        <w:rPr>
          <w:sz w:val="24"/>
          <w:szCs w:val="24"/>
        </w:rPr>
        <w:t xml:space="preserve">pursuing </w:t>
      </w:r>
      <w:r w:rsidR="00827F3E">
        <w:rPr>
          <w:sz w:val="24"/>
          <w:szCs w:val="24"/>
        </w:rPr>
        <w:t>the inception of similar models in their programs.</w:t>
      </w:r>
    </w:p>
    <w:p w14:paraId="68427203" w14:textId="3170B244" w:rsidR="00871BC4" w:rsidRPr="00220876" w:rsidRDefault="00190A51" w:rsidP="003F4D85">
      <w:pPr>
        <w:pStyle w:val="Heading1"/>
        <w:numPr>
          <w:ilvl w:val="0"/>
          <w:numId w:val="18"/>
        </w:numPr>
        <w:ind w:left="360"/>
      </w:pPr>
      <w:r w:rsidRPr="00220876">
        <w:t xml:space="preserve">Future </w:t>
      </w:r>
      <w:r w:rsidR="00220876" w:rsidRPr="00220876">
        <w:t>Scholarship Plans</w:t>
      </w:r>
    </w:p>
    <w:p w14:paraId="49D26D57" w14:textId="4636DD8F" w:rsidR="00CB083C" w:rsidRPr="001F41CC" w:rsidRDefault="00E409BB" w:rsidP="00B75185">
      <w:pPr>
        <w:rPr>
          <w:sz w:val="24"/>
          <w:szCs w:val="24"/>
        </w:rPr>
      </w:pPr>
      <w:r w:rsidRPr="001F41CC">
        <w:rPr>
          <w:sz w:val="24"/>
          <w:szCs w:val="24"/>
        </w:rPr>
        <w:t xml:space="preserve">We are preparing a </w:t>
      </w:r>
      <w:r w:rsidR="001F41CC">
        <w:rPr>
          <w:sz w:val="24"/>
          <w:szCs w:val="24"/>
        </w:rPr>
        <w:t>manuscript detailing the course changes and results to be submitted to the Journal of Chemical Education</w:t>
      </w:r>
      <w:r w:rsidR="00310534">
        <w:rPr>
          <w:sz w:val="24"/>
          <w:szCs w:val="24"/>
        </w:rPr>
        <w:t xml:space="preserve">.  Plans also include attending educational conferences and presenting this work.  It is possible that we </w:t>
      </w:r>
      <w:r w:rsidR="00696D17">
        <w:rPr>
          <w:sz w:val="24"/>
          <w:szCs w:val="24"/>
        </w:rPr>
        <w:t>may be asked to</w:t>
      </w:r>
      <w:r w:rsidR="00310534">
        <w:rPr>
          <w:sz w:val="24"/>
          <w:szCs w:val="24"/>
        </w:rPr>
        <w:t xml:space="preserve"> conduct </w:t>
      </w:r>
      <w:r w:rsidR="00696D17">
        <w:rPr>
          <w:sz w:val="24"/>
          <w:szCs w:val="24"/>
        </w:rPr>
        <w:t xml:space="preserve">some workshops to assist other departments in adopting this model. </w:t>
      </w:r>
    </w:p>
    <w:sectPr w:rsidR="00CB083C" w:rsidRPr="001F41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B663A"/>
    <w:multiLevelType w:val="hybridMultilevel"/>
    <w:tmpl w:val="03BC86D8"/>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7944A3"/>
    <w:multiLevelType w:val="hybridMultilevel"/>
    <w:tmpl w:val="C728E1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81A78A1"/>
    <w:multiLevelType w:val="hybridMultilevel"/>
    <w:tmpl w:val="2EB8A7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135438"/>
    <w:multiLevelType w:val="hybridMultilevel"/>
    <w:tmpl w:val="49D6E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4496AE7"/>
    <w:multiLevelType w:val="hybridMultilevel"/>
    <w:tmpl w:val="8842AF5A"/>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5"/>
  </w:num>
  <w:num w:numId="3">
    <w:abstractNumId w:val="16"/>
  </w:num>
  <w:num w:numId="4">
    <w:abstractNumId w:val="13"/>
  </w:num>
  <w:num w:numId="5">
    <w:abstractNumId w:val="5"/>
  </w:num>
  <w:num w:numId="6">
    <w:abstractNumId w:val="6"/>
  </w:num>
  <w:num w:numId="7">
    <w:abstractNumId w:val="3"/>
  </w:num>
  <w:num w:numId="8">
    <w:abstractNumId w:val="7"/>
  </w:num>
  <w:num w:numId="9">
    <w:abstractNumId w:val="2"/>
  </w:num>
  <w:num w:numId="10">
    <w:abstractNumId w:val="11"/>
  </w:num>
  <w:num w:numId="11">
    <w:abstractNumId w:val="1"/>
  </w:num>
  <w:num w:numId="12">
    <w:abstractNumId w:val="12"/>
  </w:num>
  <w:num w:numId="13">
    <w:abstractNumId w:val="14"/>
  </w:num>
  <w:num w:numId="14">
    <w:abstractNumId w:val="10"/>
  </w:num>
  <w:num w:numId="15">
    <w:abstractNumId w:val="4"/>
  </w:num>
  <w:num w:numId="16">
    <w:abstractNumId w:val="17"/>
  </w:num>
  <w:num w:numId="17">
    <w:abstractNumId w:val="8"/>
  </w:num>
  <w:num w:numId="18">
    <w:abstractNumId w:val="18"/>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03AF5"/>
    <w:rsid w:val="00025E79"/>
    <w:rsid w:val="00033026"/>
    <w:rsid w:val="00034638"/>
    <w:rsid w:val="00043125"/>
    <w:rsid w:val="00043518"/>
    <w:rsid w:val="000446CC"/>
    <w:rsid w:val="00044DF3"/>
    <w:rsid w:val="00071B22"/>
    <w:rsid w:val="00075E05"/>
    <w:rsid w:val="00082546"/>
    <w:rsid w:val="00091506"/>
    <w:rsid w:val="000A2EA4"/>
    <w:rsid w:val="000A757A"/>
    <w:rsid w:val="000B5788"/>
    <w:rsid w:val="000E24B7"/>
    <w:rsid w:val="000F1067"/>
    <w:rsid w:val="000F2CD1"/>
    <w:rsid w:val="00101A24"/>
    <w:rsid w:val="00114CF2"/>
    <w:rsid w:val="001305A5"/>
    <w:rsid w:val="0013122B"/>
    <w:rsid w:val="00161AD2"/>
    <w:rsid w:val="001630E1"/>
    <w:rsid w:val="00165BB7"/>
    <w:rsid w:val="001900FF"/>
    <w:rsid w:val="00190A51"/>
    <w:rsid w:val="001A218C"/>
    <w:rsid w:val="001A6F6B"/>
    <w:rsid w:val="001B2107"/>
    <w:rsid w:val="001B29F9"/>
    <w:rsid w:val="001D02AC"/>
    <w:rsid w:val="001D0862"/>
    <w:rsid w:val="001D51FD"/>
    <w:rsid w:val="001E0EE3"/>
    <w:rsid w:val="001F16E4"/>
    <w:rsid w:val="001F41CC"/>
    <w:rsid w:val="001F4532"/>
    <w:rsid w:val="00204C8C"/>
    <w:rsid w:val="00207E7F"/>
    <w:rsid w:val="00210A73"/>
    <w:rsid w:val="00220876"/>
    <w:rsid w:val="00221ADF"/>
    <w:rsid w:val="00240544"/>
    <w:rsid w:val="00250B42"/>
    <w:rsid w:val="00262AB1"/>
    <w:rsid w:val="002722ED"/>
    <w:rsid w:val="002802F0"/>
    <w:rsid w:val="00285B86"/>
    <w:rsid w:val="00293EA6"/>
    <w:rsid w:val="002A4EBE"/>
    <w:rsid w:val="002B2127"/>
    <w:rsid w:val="002D0135"/>
    <w:rsid w:val="002D274B"/>
    <w:rsid w:val="002E1949"/>
    <w:rsid w:val="002E5CE0"/>
    <w:rsid w:val="002F380C"/>
    <w:rsid w:val="003038A8"/>
    <w:rsid w:val="00310534"/>
    <w:rsid w:val="00311FBF"/>
    <w:rsid w:val="003123D7"/>
    <w:rsid w:val="003137D8"/>
    <w:rsid w:val="00314EF2"/>
    <w:rsid w:val="0033401E"/>
    <w:rsid w:val="00346044"/>
    <w:rsid w:val="00347316"/>
    <w:rsid w:val="00357267"/>
    <w:rsid w:val="003637AC"/>
    <w:rsid w:val="00382676"/>
    <w:rsid w:val="003964D2"/>
    <w:rsid w:val="003971D9"/>
    <w:rsid w:val="003B3DBD"/>
    <w:rsid w:val="003B3E40"/>
    <w:rsid w:val="003C1B4D"/>
    <w:rsid w:val="003C2884"/>
    <w:rsid w:val="003D0854"/>
    <w:rsid w:val="003E1256"/>
    <w:rsid w:val="003E1BCB"/>
    <w:rsid w:val="003F4D85"/>
    <w:rsid w:val="00422E1E"/>
    <w:rsid w:val="00455370"/>
    <w:rsid w:val="00461227"/>
    <w:rsid w:val="00471C68"/>
    <w:rsid w:val="00483FD4"/>
    <w:rsid w:val="0048459F"/>
    <w:rsid w:val="00497413"/>
    <w:rsid w:val="004A4DC3"/>
    <w:rsid w:val="004F2656"/>
    <w:rsid w:val="005038D8"/>
    <w:rsid w:val="00520C82"/>
    <w:rsid w:val="005212A0"/>
    <w:rsid w:val="00524FD4"/>
    <w:rsid w:val="00532858"/>
    <w:rsid w:val="005404EA"/>
    <w:rsid w:val="00542F48"/>
    <w:rsid w:val="00550DF4"/>
    <w:rsid w:val="00570F79"/>
    <w:rsid w:val="00593EEC"/>
    <w:rsid w:val="00594886"/>
    <w:rsid w:val="005B0477"/>
    <w:rsid w:val="005B4502"/>
    <w:rsid w:val="005B4DE1"/>
    <w:rsid w:val="005B5C3E"/>
    <w:rsid w:val="005C11E8"/>
    <w:rsid w:val="005C2F44"/>
    <w:rsid w:val="005E57E8"/>
    <w:rsid w:val="005E67D6"/>
    <w:rsid w:val="005F04B3"/>
    <w:rsid w:val="00600E38"/>
    <w:rsid w:val="006043CB"/>
    <w:rsid w:val="00630263"/>
    <w:rsid w:val="00647915"/>
    <w:rsid w:val="00657A27"/>
    <w:rsid w:val="00670F19"/>
    <w:rsid w:val="00684A25"/>
    <w:rsid w:val="00687254"/>
    <w:rsid w:val="00695B5D"/>
    <w:rsid w:val="00696D17"/>
    <w:rsid w:val="006A36A9"/>
    <w:rsid w:val="006C5097"/>
    <w:rsid w:val="006E224A"/>
    <w:rsid w:val="006F179B"/>
    <w:rsid w:val="00701A85"/>
    <w:rsid w:val="007062E7"/>
    <w:rsid w:val="0073273B"/>
    <w:rsid w:val="00743238"/>
    <w:rsid w:val="00761399"/>
    <w:rsid w:val="007708AA"/>
    <w:rsid w:val="00772C9F"/>
    <w:rsid w:val="00784A18"/>
    <w:rsid w:val="00784B38"/>
    <w:rsid w:val="00787C9F"/>
    <w:rsid w:val="00791E45"/>
    <w:rsid w:val="00793D79"/>
    <w:rsid w:val="00796463"/>
    <w:rsid w:val="00797F6D"/>
    <w:rsid w:val="007B49BA"/>
    <w:rsid w:val="007B6A29"/>
    <w:rsid w:val="007D7B1F"/>
    <w:rsid w:val="00802930"/>
    <w:rsid w:val="00811187"/>
    <w:rsid w:val="00827F3E"/>
    <w:rsid w:val="0085372E"/>
    <w:rsid w:val="0086498E"/>
    <w:rsid w:val="00871BC4"/>
    <w:rsid w:val="00873DD8"/>
    <w:rsid w:val="0087597A"/>
    <w:rsid w:val="00883FC5"/>
    <w:rsid w:val="00885625"/>
    <w:rsid w:val="008863B9"/>
    <w:rsid w:val="008B75EF"/>
    <w:rsid w:val="008C0AED"/>
    <w:rsid w:val="008C24D0"/>
    <w:rsid w:val="008C7663"/>
    <w:rsid w:val="008E6ABD"/>
    <w:rsid w:val="00902941"/>
    <w:rsid w:val="009158F8"/>
    <w:rsid w:val="00920D9A"/>
    <w:rsid w:val="009266FF"/>
    <w:rsid w:val="00945780"/>
    <w:rsid w:val="0094688D"/>
    <w:rsid w:val="00951858"/>
    <w:rsid w:val="00962521"/>
    <w:rsid w:val="00972F16"/>
    <w:rsid w:val="0097575D"/>
    <w:rsid w:val="00986270"/>
    <w:rsid w:val="00987DD6"/>
    <w:rsid w:val="00991FF3"/>
    <w:rsid w:val="009A1043"/>
    <w:rsid w:val="009A6C59"/>
    <w:rsid w:val="009B019E"/>
    <w:rsid w:val="009C6916"/>
    <w:rsid w:val="009C6A81"/>
    <w:rsid w:val="009D2E57"/>
    <w:rsid w:val="00A06E45"/>
    <w:rsid w:val="00A10831"/>
    <w:rsid w:val="00A303A0"/>
    <w:rsid w:val="00A32AF4"/>
    <w:rsid w:val="00A37727"/>
    <w:rsid w:val="00A40738"/>
    <w:rsid w:val="00A55C05"/>
    <w:rsid w:val="00A61847"/>
    <w:rsid w:val="00A630AF"/>
    <w:rsid w:val="00A75FC4"/>
    <w:rsid w:val="00A77F21"/>
    <w:rsid w:val="00A94E92"/>
    <w:rsid w:val="00AB1188"/>
    <w:rsid w:val="00AC2531"/>
    <w:rsid w:val="00AD4133"/>
    <w:rsid w:val="00AD7B58"/>
    <w:rsid w:val="00AE36F3"/>
    <w:rsid w:val="00AF4890"/>
    <w:rsid w:val="00B01BFF"/>
    <w:rsid w:val="00B148F3"/>
    <w:rsid w:val="00B15408"/>
    <w:rsid w:val="00B2436D"/>
    <w:rsid w:val="00B24434"/>
    <w:rsid w:val="00B24B00"/>
    <w:rsid w:val="00B25F59"/>
    <w:rsid w:val="00B30624"/>
    <w:rsid w:val="00B307FA"/>
    <w:rsid w:val="00B31357"/>
    <w:rsid w:val="00B516BC"/>
    <w:rsid w:val="00B561F7"/>
    <w:rsid w:val="00B708F7"/>
    <w:rsid w:val="00B75185"/>
    <w:rsid w:val="00B77B34"/>
    <w:rsid w:val="00B85F10"/>
    <w:rsid w:val="00B90CC8"/>
    <w:rsid w:val="00B939E9"/>
    <w:rsid w:val="00BA071F"/>
    <w:rsid w:val="00BB25E5"/>
    <w:rsid w:val="00BC04CF"/>
    <w:rsid w:val="00BD653D"/>
    <w:rsid w:val="00BE4F55"/>
    <w:rsid w:val="00BE590C"/>
    <w:rsid w:val="00BF3C8A"/>
    <w:rsid w:val="00C00181"/>
    <w:rsid w:val="00C03CAC"/>
    <w:rsid w:val="00C07879"/>
    <w:rsid w:val="00C239FF"/>
    <w:rsid w:val="00C312B1"/>
    <w:rsid w:val="00C41B5C"/>
    <w:rsid w:val="00C45872"/>
    <w:rsid w:val="00C51209"/>
    <w:rsid w:val="00C60A02"/>
    <w:rsid w:val="00C65741"/>
    <w:rsid w:val="00C65CEF"/>
    <w:rsid w:val="00C66162"/>
    <w:rsid w:val="00C749E5"/>
    <w:rsid w:val="00C77F8E"/>
    <w:rsid w:val="00C807D1"/>
    <w:rsid w:val="00C80819"/>
    <w:rsid w:val="00C96BCC"/>
    <w:rsid w:val="00CB083C"/>
    <w:rsid w:val="00CB51F3"/>
    <w:rsid w:val="00CC3094"/>
    <w:rsid w:val="00CE7D18"/>
    <w:rsid w:val="00D040D1"/>
    <w:rsid w:val="00D04A69"/>
    <w:rsid w:val="00D11976"/>
    <w:rsid w:val="00D15DC1"/>
    <w:rsid w:val="00D164E3"/>
    <w:rsid w:val="00D43D7A"/>
    <w:rsid w:val="00D50ECB"/>
    <w:rsid w:val="00D5468A"/>
    <w:rsid w:val="00D5794E"/>
    <w:rsid w:val="00DB4D85"/>
    <w:rsid w:val="00DC0D72"/>
    <w:rsid w:val="00DC2BFF"/>
    <w:rsid w:val="00DC5DA4"/>
    <w:rsid w:val="00DD3803"/>
    <w:rsid w:val="00DD5245"/>
    <w:rsid w:val="00DF79E1"/>
    <w:rsid w:val="00E167BE"/>
    <w:rsid w:val="00E16AFF"/>
    <w:rsid w:val="00E20D40"/>
    <w:rsid w:val="00E30F06"/>
    <w:rsid w:val="00E34FAA"/>
    <w:rsid w:val="00E409BB"/>
    <w:rsid w:val="00E467A6"/>
    <w:rsid w:val="00E75554"/>
    <w:rsid w:val="00E75A2B"/>
    <w:rsid w:val="00EC32B5"/>
    <w:rsid w:val="00EE35AB"/>
    <w:rsid w:val="00EE7C7E"/>
    <w:rsid w:val="00EF66A6"/>
    <w:rsid w:val="00EF7D6D"/>
    <w:rsid w:val="00F01364"/>
    <w:rsid w:val="00F07BA1"/>
    <w:rsid w:val="00F16836"/>
    <w:rsid w:val="00F26552"/>
    <w:rsid w:val="00F530AA"/>
    <w:rsid w:val="00F53EC9"/>
    <w:rsid w:val="00F6002D"/>
    <w:rsid w:val="00F66100"/>
    <w:rsid w:val="00F6782A"/>
    <w:rsid w:val="00F70B70"/>
    <w:rsid w:val="00F72372"/>
    <w:rsid w:val="00F847A2"/>
    <w:rsid w:val="00F855E1"/>
    <w:rsid w:val="00F85F5A"/>
    <w:rsid w:val="00FA0263"/>
    <w:rsid w:val="00FC1F4F"/>
    <w:rsid w:val="00FC2E0C"/>
    <w:rsid w:val="00FD27A3"/>
    <w:rsid w:val="00FD6A56"/>
    <w:rsid w:val="00FE0DF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3401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33401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33401E"/>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33401E"/>
    <w:rPr>
      <w:rFonts w:asciiTheme="majorHAnsi" w:eastAsiaTheme="majorEastAsia" w:hAnsiTheme="majorHAnsi" w:cstheme="majorBidi"/>
      <w:color w:val="2E74B5" w:themeColor="accent1" w:themeShade="BF"/>
      <w:sz w:val="26"/>
      <w:szCs w:val="26"/>
    </w:rPr>
  </w:style>
  <w:style w:type="character" w:styleId="UnresolvedMention">
    <w:name w:val="Unresolved Mention"/>
    <w:basedOn w:val="DefaultParagraphFont"/>
    <w:uiPriority w:val="99"/>
    <w:semiHidden/>
    <w:unhideWhenUsed/>
    <w:rsid w:val="003F4D85"/>
    <w:rPr>
      <w:color w:val="605E5C"/>
      <w:shd w:val="clear" w:color="auto" w:fill="E1DFDD"/>
    </w:rPr>
  </w:style>
  <w:style w:type="paragraph" w:styleId="Title">
    <w:name w:val="Title"/>
    <w:basedOn w:val="Normal"/>
    <w:next w:val="Normal"/>
    <w:link w:val="TitleChar"/>
    <w:uiPriority w:val="10"/>
    <w:qFormat/>
    <w:rsid w:val="00285B86"/>
    <w:pPr>
      <w:jc w:val="center"/>
    </w:pPr>
    <w:rPr>
      <w:b/>
      <w:sz w:val="28"/>
      <w:szCs w:val="28"/>
    </w:rPr>
  </w:style>
  <w:style w:type="character" w:customStyle="1" w:styleId="TitleChar">
    <w:name w:val="Title Char"/>
    <w:basedOn w:val="DefaultParagraphFont"/>
    <w:link w:val="Title"/>
    <w:uiPriority w:val="10"/>
    <w:rsid w:val="00285B86"/>
    <w:rPr>
      <w:b/>
      <w:sz w:val="28"/>
      <w:szCs w:val="28"/>
    </w:rPr>
  </w:style>
  <w:style w:type="paragraph" w:styleId="Subtitle">
    <w:name w:val="Subtitle"/>
    <w:basedOn w:val="Title"/>
    <w:next w:val="Normal"/>
    <w:link w:val="SubtitleChar"/>
    <w:uiPriority w:val="11"/>
    <w:qFormat/>
    <w:rsid w:val="00285B86"/>
  </w:style>
  <w:style w:type="character" w:customStyle="1" w:styleId="SubtitleChar">
    <w:name w:val="Subtitle Char"/>
    <w:basedOn w:val="DefaultParagraphFont"/>
    <w:link w:val="Subtitle"/>
    <w:uiPriority w:val="11"/>
    <w:rsid w:val="00285B86"/>
    <w:rPr>
      <w:b/>
      <w:sz w:val="28"/>
      <w:szCs w:val="28"/>
    </w:rPr>
  </w:style>
  <w:style w:type="paragraph" w:styleId="NoSpacing">
    <w:name w:val="No Spacing"/>
    <w:uiPriority w:val="1"/>
    <w:qFormat/>
    <w:rsid w:val="00CB51F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217283934">
      <w:bodyDiv w:val="1"/>
      <w:marLeft w:val="0"/>
      <w:marRight w:val="0"/>
      <w:marTop w:val="0"/>
      <w:marBottom w:val="0"/>
      <w:divBdr>
        <w:top w:val="none" w:sz="0" w:space="0" w:color="auto"/>
        <w:left w:val="none" w:sz="0" w:space="0" w:color="auto"/>
        <w:bottom w:val="none" w:sz="0" w:space="0" w:color="auto"/>
        <w:right w:val="none" w:sz="0" w:space="0" w:color="auto"/>
      </w:divBdr>
    </w:div>
    <w:div w:id="309359707">
      <w:bodyDiv w:val="1"/>
      <w:marLeft w:val="0"/>
      <w:marRight w:val="0"/>
      <w:marTop w:val="0"/>
      <w:marBottom w:val="0"/>
      <w:divBdr>
        <w:top w:val="none" w:sz="0" w:space="0" w:color="auto"/>
        <w:left w:val="none" w:sz="0" w:space="0" w:color="auto"/>
        <w:bottom w:val="none" w:sz="0" w:space="0" w:color="auto"/>
        <w:right w:val="none" w:sz="0" w:space="0" w:color="auto"/>
      </w:divBdr>
    </w:div>
    <w:div w:id="888034116">
      <w:bodyDiv w:val="1"/>
      <w:marLeft w:val="0"/>
      <w:marRight w:val="0"/>
      <w:marTop w:val="0"/>
      <w:marBottom w:val="0"/>
      <w:divBdr>
        <w:top w:val="none" w:sz="0" w:space="0" w:color="auto"/>
        <w:left w:val="none" w:sz="0" w:space="0" w:color="auto"/>
        <w:bottom w:val="none" w:sz="0" w:space="0" w:color="auto"/>
        <w:right w:val="none" w:sz="0" w:space="0" w:color="auto"/>
      </w:divBdr>
    </w:div>
    <w:div w:id="1006716023">
      <w:bodyDiv w:val="1"/>
      <w:marLeft w:val="0"/>
      <w:marRight w:val="0"/>
      <w:marTop w:val="0"/>
      <w:marBottom w:val="0"/>
      <w:divBdr>
        <w:top w:val="none" w:sz="0" w:space="0" w:color="auto"/>
        <w:left w:val="none" w:sz="0" w:space="0" w:color="auto"/>
        <w:bottom w:val="none" w:sz="0" w:space="0" w:color="auto"/>
        <w:right w:val="none" w:sz="0" w:space="0" w:color="auto"/>
      </w:divBdr>
    </w:div>
    <w:div w:id="1201746324">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668246978">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rvey.zohopublic.com/zs/xTCCv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activity xmlns="330354a9-d728-46c7-abbf-3220e4bf05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224A65098339408B19873D91B76442" ma:contentTypeVersion="16" ma:contentTypeDescription="Create a new document." ma:contentTypeScope="" ma:versionID="301beb9fb6c1758832992cdd990bea83">
  <xsd:schema xmlns:xsd="http://www.w3.org/2001/XMLSchema" xmlns:xs="http://www.w3.org/2001/XMLSchema" xmlns:p="http://schemas.microsoft.com/office/2006/metadata/properties" xmlns:ns1="http://schemas.microsoft.com/sharepoint/v3" xmlns:ns3="330354a9-d728-46c7-abbf-3220e4bf05e8" xmlns:ns4="6f89d419-4ffd-47bb-9324-452bed66a7b5" targetNamespace="http://schemas.microsoft.com/office/2006/metadata/properties" ma:root="true" ma:fieldsID="0378d0ab1c50b4fced48dd4e5507f6df" ns1:_="" ns3:_="" ns4:_="">
    <xsd:import namespace="http://schemas.microsoft.com/sharepoint/v3"/>
    <xsd:import namespace="330354a9-d728-46c7-abbf-3220e4bf05e8"/>
    <xsd:import namespace="6f89d419-4ffd-47bb-9324-452bed66a7b5"/>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30354a9-d728-46c7-abbf-3220e4bf05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f89d419-4ffd-47bb-9324-452bed66a7b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2FEF73-E947-49FD-95E9-CD7281206E7D}">
  <ds:schemaRefs>
    <ds:schemaRef ds:uri="http://schemas.microsoft.com/office/2006/metadata/properties"/>
    <ds:schemaRef ds:uri="http://purl.org/dc/dcmitype/"/>
    <ds:schemaRef ds:uri="http://schemas.microsoft.com/sharepoint/v3"/>
    <ds:schemaRef ds:uri="http://purl.org/dc/elements/1.1/"/>
    <ds:schemaRef ds:uri="http://www.w3.org/XML/1998/namespace"/>
    <ds:schemaRef ds:uri="http://purl.org/dc/terms/"/>
    <ds:schemaRef ds:uri="6f89d419-4ffd-47bb-9324-452bed66a7b5"/>
    <ds:schemaRef ds:uri="http://schemas.microsoft.com/office/2006/documentManagement/types"/>
    <ds:schemaRef ds:uri="http://schemas.openxmlformats.org/package/2006/metadata/core-properties"/>
    <ds:schemaRef ds:uri="http://schemas.microsoft.com/office/infopath/2007/PartnerControls"/>
    <ds:schemaRef ds:uri="330354a9-d728-46c7-abbf-3220e4bf05e8"/>
  </ds:schemaRefs>
</ds:datastoreItem>
</file>

<file path=customXml/itemProps2.xml><?xml version="1.0" encoding="utf-8"?>
<ds:datastoreItem xmlns:ds="http://schemas.openxmlformats.org/officeDocument/2006/customXml" ds:itemID="{FC1C2929-364B-46C9-A5D6-FAEEFCF34E31}">
  <ds:schemaRefs>
    <ds:schemaRef ds:uri="http://schemas.microsoft.com/sharepoint/v3/contenttype/forms"/>
  </ds:schemaRefs>
</ds:datastoreItem>
</file>

<file path=customXml/itemProps3.xml><?xml version="1.0" encoding="utf-8"?>
<ds:datastoreItem xmlns:ds="http://schemas.openxmlformats.org/officeDocument/2006/customXml" ds:itemID="{198F2906-8391-4692-B374-E48ADA3883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30354a9-d728-46c7-abbf-3220e4bf05e8"/>
    <ds:schemaRef ds:uri="6f89d419-4ffd-47bb-9324-452bed66a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8</Pages>
  <Words>2599</Words>
  <Characters>14818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17383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Suzanne Ray Ellenberger</cp:lastModifiedBy>
  <cp:revision>43</cp:revision>
  <cp:lastPrinted>2023-06-14T19:02:00Z</cp:lastPrinted>
  <dcterms:created xsi:type="dcterms:W3CDTF">2023-06-14T14:16:00Z</dcterms:created>
  <dcterms:modified xsi:type="dcterms:W3CDTF">2023-06-14T19:02:00Z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0x010100FD224A65098339408B19873D91B76442</vt:lpwstr>
  </property>
</Properties>
</file>